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D9E" w:rsidRDefault="00EA1D9E" w:rsidP="005C61D8">
      <w:pPr>
        <w:tabs>
          <w:tab w:val="left" w:pos="0"/>
          <w:tab w:val="left" w:pos="2322"/>
        </w:tabs>
        <w:rPr>
          <w:rFonts w:asciiTheme="majorHAnsi" w:hAnsiTheme="majorHAnsi"/>
          <w:b/>
          <w:sz w:val="20"/>
          <w:szCs w:val="20"/>
        </w:rPr>
      </w:pPr>
    </w:p>
    <w:p w:rsidR="00EA1D9E" w:rsidRDefault="00EA1D9E" w:rsidP="00EA1D9E">
      <w:pPr>
        <w:jc w:val="center"/>
        <w:rPr>
          <w:rFonts w:asciiTheme="majorHAnsi" w:hAnsiTheme="majorHAnsi"/>
          <w:b/>
          <w:sz w:val="20"/>
          <w:szCs w:val="20"/>
        </w:rPr>
      </w:pPr>
      <w:r>
        <w:rPr>
          <w:rFonts w:asciiTheme="majorHAnsi" w:hAnsiTheme="majorHAnsi"/>
          <w:b/>
          <w:sz w:val="20"/>
          <w:szCs w:val="20"/>
        </w:rPr>
        <w:t>Sant Longowal Institute of Engineering and Technology,</w:t>
      </w:r>
    </w:p>
    <w:p w:rsidR="00EA1D9E" w:rsidRDefault="00EA1D9E" w:rsidP="00EA1D9E">
      <w:pPr>
        <w:jc w:val="center"/>
        <w:rPr>
          <w:rFonts w:asciiTheme="majorHAnsi" w:hAnsiTheme="majorHAnsi"/>
          <w:b/>
          <w:sz w:val="20"/>
          <w:szCs w:val="20"/>
        </w:rPr>
      </w:pPr>
      <w:r>
        <w:rPr>
          <w:rFonts w:asciiTheme="majorHAnsi" w:hAnsiTheme="majorHAnsi"/>
          <w:b/>
          <w:sz w:val="20"/>
          <w:szCs w:val="20"/>
        </w:rPr>
        <w:t>Longowal, Distt. Sangrur</w:t>
      </w:r>
    </w:p>
    <w:p w:rsidR="00EA1D9E" w:rsidRDefault="00EA1D9E" w:rsidP="00EA1D9E">
      <w:pPr>
        <w:jc w:val="center"/>
        <w:rPr>
          <w:rFonts w:asciiTheme="majorHAnsi" w:hAnsiTheme="majorHAnsi"/>
          <w:b/>
          <w:sz w:val="20"/>
          <w:szCs w:val="20"/>
        </w:rPr>
      </w:pPr>
      <w:r>
        <w:rPr>
          <w:rFonts w:asciiTheme="majorHAnsi" w:hAnsiTheme="majorHAnsi"/>
          <w:b/>
          <w:sz w:val="20"/>
          <w:szCs w:val="20"/>
        </w:rPr>
        <w:t>(Deemed University)</w:t>
      </w:r>
    </w:p>
    <w:p w:rsidR="00EA1D9E" w:rsidRDefault="00EA1D9E" w:rsidP="00EA1D9E">
      <w:pPr>
        <w:jc w:val="center"/>
        <w:rPr>
          <w:rFonts w:asciiTheme="majorHAnsi" w:hAnsiTheme="majorHAnsi"/>
          <w:b/>
          <w:sz w:val="20"/>
          <w:szCs w:val="20"/>
        </w:rPr>
      </w:pPr>
      <w:r>
        <w:rPr>
          <w:rFonts w:asciiTheme="majorHAnsi" w:hAnsiTheme="majorHAnsi"/>
          <w:b/>
          <w:sz w:val="20"/>
          <w:szCs w:val="20"/>
        </w:rPr>
        <w:t>(Established by Govt. of India)</w:t>
      </w:r>
    </w:p>
    <w:p w:rsidR="00EA1D9E" w:rsidRDefault="00EA1D9E" w:rsidP="00EA1D9E">
      <w:pPr>
        <w:rPr>
          <w:rFonts w:asciiTheme="majorHAnsi" w:hAnsiTheme="majorHAnsi"/>
          <w:b/>
          <w:sz w:val="20"/>
          <w:szCs w:val="20"/>
        </w:rPr>
      </w:pPr>
    </w:p>
    <w:p w:rsidR="00EA1D9E" w:rsidRDefault="00EA1D9E" w:rsidP="00EA1D9E">
      <w:pPr>
        <w:jc w:val="center"/>
        <w:rPr>
          <w:rFonts w:asciiTheme="majorHAnsi" w:hAnsiTheme="majorHAnsi"/>
          <w:b/>
          <w:bCs/>
          <w:i/>
          <w:sz w:val="20"/>
          <w:szCs w:val="20"/>
          <w:u w:val="single"/>
        </w:rPr>
      </w:pPr>
      <w:r>
        <w:rPr>
          <w:rFonts w:asciiTheme="majorHAnsi" w:hAnsiTheme="majorHAnsi"/>
          <w:b/>
          <w:bCs/>
          <w:i/>
          <w:sz w:val="20"/>
          <w:szCs w:val="20"/>
          <w:u w:val="single"/>
        </w:rPr>
        <w:t xml:space="preserve">e-Tender Notice  </w:t>
      </w:r>
    </w:p>
    <w:p w:rsidR="00EA1D9E" w:rsidRDefault="00EA1D9E" w:rsidP="00EA1D9E">
      <w:pPr>
        <w:jc w:val="center"/>
        <w:rPr>
          <w:rFonts w:asciiTheme="majorHAnsi" w:hAnsiTheme="majorHAnsi"/>
          <w:b/>
          <w:bCs/>
          <w:sz w:val="20"/>
          <w:szCs w:val="20"/>
        </w:rPr>
      </w:pPr>
    </w:p>
    <w:p w:rsidR="00EA1D9E" w:rsidRDefault="00EA1D9E" w:rsidP="00EA1D9E">
      <w:pPr>
        <w:jc w:val="both"/>
        <w:rPr>
          <w:rFonts w:ascii="Calibri" w:hAnsi="Calibri" w:cs="Calibri"/>
          <w:sz w:val="20"/>
          <w:szCs w:val="20"/>
        </w:rPr>
      </w:pPr>
      <w:r>
        <w:rPr>
          <w:rFonts w:ascii="Calibri" w:hAnsi="Calibri" w:cs="Calibri"/>
          <w:sz w:val="20"/>
          <w:szCs w:val="20"/>
        </w:rPr>
        <w:t>e-Tenders in two bid system i.e. technical bid &amp; commercial bid for the work as mentioned below from appropriate class Contractors registered with CPWD/State PWD/MES/PUDA/Central Public Sector undertaking and experience of having successfully completed works during the last 7 years ending last day of the month previously to one in which applications are invited:</w:t>
      </w:r>
    </w:p>
    <w:p w:rsidR="00EA1D9E" w:rsidRDefault="00EA1D9E" w:rsidP="00EA1D9E">
      <w:pPr>
        <w:jc w:val="both"/>
        <w:rPr>
          <w:rFonts w:ascii="Calibri" w:hAnsi="Calibri" w:cs="Calibri"/>
          <w:sz w:val="20"/>
          <w:szCs w:val="20"/>
        </w:rPr>
      </w:pPr>
      <w:r>
        <w:rPr>
          <w:rFonts w:ascii="Calibri" w:hAnsi="Calibri" w:cs="Calibri"/>
          <w:sz w:val="20"/>
          <w:szCs w:val="20"/>
        </w:rPr>
        <w:t>Three Similar completed work each costing not less than the amount equal to 40% of estimated cost put to tender or Two similar completed works, each costing not less than the amount equal to 60% of the estimated cost put to tender or One similar completed work of costing not less than the amount equal to 80% of the estimated cost put to tender with some Central Government Department/State Government Department/Central Autonomous Body/Central Public Sector undertaking.</w:t>
      </w:r>
    </w:p>
    <w:p w:rsidR="00EA1D9E" w:rsidRDefault="00EA1D9E" w:rsidP="00EA1D9E">
      <w:pPr>
        <w:jc w:val="both"/>
        <w:rPr>
          <w:rFonts w:asciiTheme="majorHAnsi" w:hAnsiTheme="majorHAnsi"/>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579"/>
        <w:gridCol w:w="1291"/>
        <w:gridCol w:w="1170"/>
        <w:gridCol w:w="1170"/>
        <w:gridCol w:w="810"/>
        <w:gridCol w:w="1229"/>
        <w:gridCol w:w="1134"/>
      </w:tblGrid>
      <w:tr w:rsidR="00EA1D9E" w:rsidTr="00690C3C">
        <w:tc>
          <w:tcPr>
            <w:tcW w:w="540" w:type="dxa"/>
          </w:tcPr>
          <w:p w:rsidR="00EA1D9E" w:rsidRDefault="00EA1D9E" w:rsidP="00690C3C">
            <w:pPr>
              <w:overflowPunct w:val="0"/>
              <w:spacing w:before="100" w:beforeAutospacing="1" w:after="100" w:afterAutospacing="1"/>
              <w:ind w:left="-21"/>
              <w:rPr>
                <w:rFonts w:asciiTheme="majorHAnsi" w:hAnsiTheme="majorHAnsi"/>
                <w:b/>
                <w:bCs/>
                <w:sz w:val="18"/>
                <w:szCs w:val="18"/>
              </w:rPr>
            </w:pPr>
            <w:r>
              <w:rPr>
                <w:rFonts w:asciiTheme="majorHAnsi" w:hAnsiTheme="majorHAnsi"/>
                <w:b/>
                <w:bCs/>
                <w:sz w:val="18"/>
                <w:szCs w:val="18"/>
              </w:rPr>
              <w:t>Sr. No.</w:t>
            </w:r>
          </w:p>
        </w:tc>
        <w:tc>
          <w:tcPr>
            <w:tcW w:w="2579" w:type="dxa"/>
          </w:tcPr>
          <w:p w:rsidR="00EA1D9E" w:rsidRDefault="00EA1D9E" w:rsidP="00690C3C">
            <w:pPr>
              <w:overflowPunct w:val="0"/>
              <w:spacing w:before="100" w:beforeAutospacing="1" w:after="100" w:afterAutospacing="1"/>
              <w:ind w:left="-21"/>
              <w:jc w:val="center"/>
              <w:rPr>
                <w:rFonts w:asciiTheme="majorHAnsi" w:hAnsiTheme="majorHAnsi"/>
                <w:b/>
                <w:bCs/>
                <w:sz w:val="18"/>
                <w:szCs w:val="18"/>
              </w:rPr>
            </w:pPr>
            <w:r>
              <w:rPr>
                <w:rFonts w:asciiTheme="majorHAnsi" w:hAnsiTheme="majorHAnsi"/>
                <w:b/>
                <w:bCs/>
                <w:sz w:val="18"/>
                <w:szCs w:val="18"/>
              </w:rPr>
              <w:t>Name of Work</w:t>
            </w:r>
          </w:p>
        </w:tc>
        <w:tc>
          <w:tcPr>
            <w:tcW w:w="1291" w:type="dxa"/>
          </w:tcPr>
          <w:p w:rsidR="00EA1D9E" w:rsidRDefault="00EA1D9E" w:rsidP="00690C3C">
            <w:pPr>
              <w:overflowPunct w:val="0"/>
              <w:spacing w:before="100" w:beforeAutospacing="1" w:after="100" w:afterAutospacing="1"/>
              <w:ind w:left="-21"/>
              <w:jc w:val="both"/>
              <w:rPr>
                <w:rFonts w:asciiTheme="majorHAnsi" w:hAnsiTheme="majorHAnsi"/>
                <w:b/>
                <w:bCs/>
                <w:sz w:val="18"/>
                <w:szCs w:val="18"/>
              </w:rPr>
            </w:pPr>
            <w:r>
              <w:rPr>
                <w:rFonts w:asciiTheme="majorHAnsi" w:hAnsiTheme="majorHAnsi"/>
                <w:b/>
                <w:bCs/>
                <w:sz w:val="18"/>
                <w:szCs w:val="18"/>
              </w:rPr>
              <w:t>DNIT Amount (Rs. In Lacs)</w:t>
            </w:r>
          </w:p>
        </w:tc>
        <w:tc>
          <w:tcPr>
            <w:tcW w:w="1170" w:type="dxa"/>
          </w:tcPr>
          <w:p w:rsidR="00EA1D9E" w:rsidRDefault="00EA1D9E" w:rsidP="00690C3C">
            <w:pPr>
              <w:overflowPunct w:val="0"/>
              <w:spacing w:before="100" w:beforeAutospacing="1" w:after="100" w:afterAutospacing="1"/>
              <w:ind w:left="-21"/>
              <w:jc w:val="both"/>
              <w:rPr>
                <w:rFonts w:asciiTheme="majorHAnsi" w:hAnsiTheme="majorHAnsi"/>
                <w:b/>
                <w:bCs/>
                <w:sz w:val="18"/>
                <w:szCs w:val="18"/>
              </w:rPr>
            </w:pPr>
            <w:r>
              <w:rPr>
                <w:rFonts w:asciiTheme="majorHAnsi" w:hAnsiTheme="majorHAnsi"/>
                <w:b/>
                <w:bCs/>
                <w:sz w:val="18"/>
                <w:szCs w:val="18"/>
              </w:rPr>
              <w:t xml:space="preserve">Earnest Money Deposit (2% of the DNIT amount in Rs.) </w:t>
            </w:r>
          </w:p>
        </w:tc>
        <w:tc>
          <w:tcPr>
            <w:tcW w:w="1170" w:type="dxa"/>
          </w:tcPr>
          <w:p w:rsidR="00EA1D9E" w:rsidRDefault="00EA1D9E" w:rsidP="00690C3C">
            <w:pPr>
              <w:overflowPunct w:val="0"/>
              <w:spacing w:before="100" w:beforeAutospacing="1" w:after="100" w:afterAutospacing="1"/>
              <w:ind w:left="-21"/>
              <w:jc w:val="both"/>
              <w:rPr>
                <w:rFonts w:asciiTheme="majorHAnsi" w:hAnsiTheme="majorHAnsi"/>
                <w:b/>
                <w:bCs/>
                <w:sz w:val="18"/>
                <w:szCs w:val="18"/>
              </w:rPr>
            </w:pPr>
            <w:r>
              <w:rPr>
                <w:rFonts w:asciiTheme="majorHAnsi" w:hAnsiTheme="majorHAnsi"/>
                <w:b/>
                <w:bCs/>
                <w:sz w:val="18"/>
                <w:szCs w:val="18"/>
              </w:rPr>
              <w:t xml:space="preserve">Cost of Tender Documents in (Non-refundable) </w:t>
            </w:r>
          </w:p>
        </w:tc>
        <w:tc>
          <w:tcPr>
            <w:tcW w:w="810" w:type="dxa"/>
          </w:tcPr>
          <w:p w:rsidR="00EA1D9E" w:rsidRDefault="00EA1D9E" w:rsidP="00690C3C">
            <w:pPr>
              <w:overflowPunct w:val="0"/>
              <w:spacing w:before="100" w:beforeAutospacing="1" w:after="100" w:afterAutospacing="1"/>
              <w:ind w:left="-21"/>
              <w:jc w:val="both"/>
              <w:rPr>
                <w:rFonts w:asciiTheme="majorHAnsi" w:hAnsiTheme="majorHAnsi"/>
                <w:b/>
                <w:bCs/>
                <w:sz w:val="18"/>
                <w:szCs w:val="18"/>
              </w:rPr>
            </w:pPr>
            <w:r>
              <w:rPr>
                <w:rFonts w:asciiTheme="majorHAnsi" w:hAnsiTheme="majorHAnsi"/>
                <w:b/>
                <w:bCs/>
                <w:sz w:val="18"/>
                <w:szCs w:val="18"/>
              </w:rPr>
              <w:t>Time Period</w:t>
            </w:r>
          </w:p>
        </w:tc>
        <w:tc>
          <w:tcPr>
            <w:tcW w:w="1229" w:type="dxa"/>
          </w:tcPr>
          <w:p w:rsidR="00EA1D9E" w:rsidRDefault="00EA1D9E" w:rsidP="00690C3C">
            <w:pPr>
              <w:overflowPunct w:val="0"/>
              <w:spacing w:before="100" w:beforeAutospacing="1" w:after="100" w:afterAutospacing="1"/>
              <w:ind w:left="-21"/>
              <w:jc w:val="center"/>
              <w:rPr>
                <w:rFonts w:asciiTheme="majorHAnsi" w:hAnsiTheme="majorHAnsi"/>
                <w:b/>
                <w:bCs/>
                <w:sz w:val="18"/>
                <w:szCs w:val="18"/>
              </w:rPr>
            </w:pPr>
            <w:r>
              <w:rPr>
                <w:rFonts w:asciiTheme="majorHAnsi" w:hAnsiTheme="majorHAnsi"/>
                <w:b/>
                <w:bCs/>
                <w:sz w:val="18"/>
                <w:szCs w:val="18"/>
              </w:rPr>
              <w:t>Tender Processing Fees (Rs.)</w:t>
            </w:r>
          </w:p>
        </w:tc>
        <w:tc>
          <w:tcPr>
            <w:tcW w:w="1134" w:type="dxa"/>
          </w:tcPr>
          <w:p w:rsidR="00EA1D9E" w:rsidRDefault="00EA1D9E" w:rsidP="00690C3C">
            <w:pPr>
              <w:overflowPunct w:val="0"/>
              <w:spacing w:before="100" w:beforeAutospacing="1" w:after="100" w:afterAutospacing="1"/>
              <w:ind w:left="-21"/>
              <w:jc w:val="center"/>
              <w:rPr>
                <w:rFonts w:asciiTheme="majorHAnsi" w:hAnsiTheme="majorHAnsi"/>
                <w:b/>
                <w:bCs/>
                <w:sz w:val="18"/>
                <w:szCs w:val="18"/>
              </w:rPr>
            </w:pPr>
            <w:r>
              <w:rPr>
                <w:rFonts w:asciiTheme="majorHAnsi" w:hAnsiTheme="majorHAnsi"/>
                <w:b/>
                <w:bCs/>
                <w:sz w:val="18"/>
                <w:szCs w:val="18"/>
              </w:rPr>
              <w:t xml:space="preserve">Category of work </w:t>
            </w:r>
          </w:p>
        </w:tc>
      </w:tr>
      <w:tr w:rsidR="00EA1D9E" w:rsidTr="00690C3C">
        <w:tc>
          <w:tcPr>
            <w:tcW w:w="540" w:type="dxa"/>
          </w:tcPr>
          <w:p w:rsidR="00EA1D9E" w:rsidRDefault="00EA1D9E" w:rsidP="00690C3C">
            <w:pPr>
              <w:overflowPunct w:val="0"/>
              <w:spacing w:before="100" w:beforeAutospacing="1" w:after="100" w:afterAutospacing="1"/>
              <w:rPr>
                <w:rFonts w:asciiTheme="majorHAnsi" w:hAnsiTheme="majorHAnsi"/>
                <w:sz w:val="18"/>
                <w:szCs w:val="18"/>
              </w:rPr>
            </w:pPr>
            <w:r>
              <w:rPr>
                <w:rFonts w:asciiTheme="majorHAnsi" w:hAnsiTheme="majorHAnsi"/>
                <w:sz w:val="18"/>
                <w:szCs w:val="18"/>
              </w:rPr>
              <w:t>1</w:t>
            </w:r>
          </w:p>
        </w:tc>
        <w:tc>
          <w:tcPr>
            <w:tcW w:w="2579" w:type="dxa"/>
          </w:tcPr>
          <w:p w:rsidR="00EA1D9E" w:rsidRDefault="00EA1D9E" w:rsidP="00690C3C">
            <w:pPr>
              <w:tabs>
                <w:tab w:val="left" w:pos="0"/>
                <w:tab w:val="left" w:pos="2322"/>
              </w:tabs>
              <w:rPr>
                <w:rFonts w:asciiTheme="majorHAnsi" w:hAnsiTheme="majorHAnsi"/>
                <w:sz w:val="18"/>
                <w:szCs w:val="18"/>
              </w:rPr>
            </w:pPr>
            <w:r>
              <w:rPr>
                <w:rFonts w:ascii="Cambria" w:hAnsi="Cambria" w:cs="Calibri"/>
                <w:b/>
                <w:sz w:val="18"/>
                <w:szCs w:val="18"/>
              </w:rPr>
              <w:t>Horticulture/Landscaping Services at SLIET, Longowal</w:t>
            </w:r>
            <w:r>
              <w:rPr>
                <w:rFonts w:asciiTheme="majorHAnsi" w:eastAsia="Calibri" w:hAnsiTheme="majorHAnsi"/>
                <w:b/>
                <w:sz w:val="18"/>
                <w:szCs w:val="18"/>
              </w:rPr>
              <w:t xml:space="preserve"> for the </w:t>
            </w:r>
            <w:r>
              <w:rPr>
                <w:rFonts w:ascii="Cambria" w:eastAsia="Calibri" w:hAnsi="Cambria"/>
                <w:b/>
                <w:sz w:val="18"/>
                <w:szCs w:val="18"/>
              </w:rPr>
              <w:t>F/Y 2017-18</w:t>
            </w:r>
          </w:p>
          <w:p w:rsidR="00EA1D9E" w:rsidRDefault="00EA1D9E" w:rsidP="00690C3C">
            <w:pPr>
              <w:ind w:right="273"/>
              <w:rPr>
                <w:rFonts w:asciiTheme="majorHAnsi" w:hAnsiTheme="majorHAnsi"/>
                <w:sz w:val="18"/>
                <w:szCs w:val="18"/>
              </w:rPr>
            </w:pPr>
          </w:p>
        </w:tc>
        <w:tc>
          <w:tcPr>
            <w:tcW w:w="1291" w:type="dxa"/>
            <w:vAlign w:val="center"/>
          </w:tcPr>
          <w:p w:rsidR="00EA1D9E" w:rsidRDefault="00EA1D9E" w:rsidP="00690C3C">
            <w:pPr>
              <w:jc w:val="center"/>
              <w:rPr>
                <w:rFonts w:asciiTheme="majorHAnsi" w:hAnsiTheme="majorHAnsi"/>
                <w:sz w:val="18"/>
                <w:szCs w:val="18"/>
              </w:rPr>
            </w:pPr>
            <w:r>
              <w:rPr>
                <w:rFonts w:asciiTheme="majorHAnsi" w:hAnsiTheme="majorHAnsi"/>
                <w:sz w:val="18"/>
                <w:szCs w:val="18"/>
              </w:rPr>
              <w:t>1,04,56,371/-</w:t>
            </w:r>
          </w:p>
        </w:tc>
        <w:tc>
          <w:tcPr>
            <w:tcW w:w="1170" w:type="dxa"/>
            <w:vAlign w:val="center"/>
          </w:tcPr>
          <w:p w:rsidR="00EA1D9E" w:rsidRDefault="00EA1D9E" w:rsidP="00690C3C">
            <w:pPr>
              <w:overflowPunct w:val="0"/>
              <w:spacing w:before="100" w:beforeAutospacing="1" w:after="100" w:afterAutospacing="1"/>
              <w:jc w:val="center"/>
              <w:rPr>
                <w:rFonts w:asciiTheme="majorHAnsi" w:hAnsiTheme="majorHAnsi"/>
                <w:sz w:val="18"/>
                <w:szCs w:val="18"/>
              </w:rPr>
            </w:pPr>
            <w:r>
              <w:rPr>
                <w:rFonts w:asciiTheme="majorHAnsi" w:hAnsiTheme="majorHAnsi"/>
                <w:sz w:val="18"/>
                <w:szCs w:val="18"/>
              </w:rPr>
              <w:t>2,09,127/-</w:t>
            </w:r>
          </w:p>
        </w:tc>
        <w:tc>
          <w:tcPr>
            <w:tcW w:w="1170" w:type="dxa"/>
            <w:vAlign w:val="center"/>
          </w:tcPr>
          <w:p w:rsidR="00EA1D9E" w:rsidRDefault="00EA1D9E" w:rsidP="00690C3C">
            <w:pPr>
              <w:jc w:val="center"/>
              <w:rPr>
                <w:rFonts w:asciiTheme="majorHAnsi" w:hAnsiTheme="majorHAnsi"/>
                <w:sz w:val="18"/>
                <w:szCs w:val="18"/>
              </w:rPr>
            </w:pPr>
            <w:r>
              <w:rPr>
                <w:rFonts w:asciiTheme="majorHAnsi" w:hAnsiTheme="majorHAnsi"/>
                <w:sz w:val="18"/>
                <w:szCs w:val="18"/>
              </w:rPr>
              <w:t>1,000/-</w:t>
            </w:r>
          </w:p>
        </w:tc>
        <w:tc>
          <w:tcPr>
            <w:tcW w:w="810" w:type="dxa"/>
            <w:vAlign w:val="center"/>
          </w:tcPr>
          <w:p w:rsidR="00EA1D9E" w:rsidRDefault="00EA1D9E" w:rsidP="00690C3C">
            <w:pPr>
              <w:overflowPunct w:val="0"/>
              <w:spacing w:before="100" w:beforeAutospacing="1" w:after="100" w:afterAutospacing="1"/>
              <w:jc w:val="center"/>
              <w:rPr>
                <w:rFonts w:asciiTheme="majorHAnsi" w:hAnsiTheme="majorHAnsi"/>
                <w:sz w:val="18"/>
                <w:szCs w:val="18"/>
              </w:rPr>
            </w:pPr>
            <w:r>
              <w:rPr>
                <w:rFonts w:asciiTheme="majorHAnsi" w:hAnsiTheme="majorHAnsi"/>
                <w:sz w:val="18"/>
                <w:szCs w:val="18"/>
              </w:rPr>
              <w:t>12 Months</w:t>
            </w:r>
          </w:p>
        </w:tc>
        <w:tc>
          <w:tcPr>
            <w:tcW w:w="1229" w:type="dxa"/>
            <w:vAlign w:val="center"/>
          </w:tcPr>
          <w:p w:rsidR="00EA1D9E" w:rsidRDefault="00EA1D9E" w:rsidP="00690C3C">
            <w:pPr>
              <w:overflowPunct w:val="0"/>
              <w:spacing w:before="100" w:beforeAutospacing="1" w:after="100" w:afterAutospacing="1"/>
              <w:jc w:val="center"/>
              <w:rPr>
                <w:rFonts w:asciiTheme="majorHAnsi" w:hAnsiTheme="majorHAnsi"/>
                <w:sz w:val="18"/>
                <w:szCs w:val="18"/>
              </w:rPr>
            </w:pPr>
            <w:r>
              <w:rPr>
                <w:rFonts w:asciiTheme="majorHAnsi" w:hAnsiTheme="majorHAnsi"/>
                <w:sz w:val="18"/>
                <w:szCs w:val="18"/>
              </w:rPr>
              <w:t>8,550/-</w:t>
            </w:r>
          </w:p>
        </w:tc>
        <w:tc>
          <w:tcPr>
            <w:tcW w:w="1134" w:type="dxa"/>
            <w:vAlign w:val="center"/>
          </w:tcPr>
          <w:p w:rsidR="00EA1D9E" w:rsidRPr="00DE2696" w:rsidRDefault="00EA1D9E" w:rsidP="00690C3C">
            <w:pPr>
              <w:overflowPunct w:val="0"/>
              <w:spacing w:before="100" w:beforeAutospacing="1" w:after="100" w:afterAutospacing="1"/>
              <w:ind w:right="72"/>
              <w:jc w:val="center"/>
              <w:rPr>
                <w:rFonts w:asciiTheme="majorHAnsi" w:hAnsiTheme="majorHAnsi"/>
                <w:sz w:val="16"/>
                <w:szCs w:val="16"/>
              </w:rPr>
            </w:pPr>
            <w:r w:rsidRPr="00DE2696">
              <w:rPr>
                <w:rFonts w:ascii="Calibri" w:hAnsi="Calibri" w:cs="Calibri"/>
                <w:sz w:val="16"/>
                <w:szCs w:val="16"/>
              </w:rPr>
              <w:t>Horticulture</w:t>
            </w:r>
            <w:r w:rsidRPr="00DE2696">
              <w:rPr>
                <w:rFonts w:asciiTheme="majorHAnsi" w:hAnsiTheme="majorHAnsi"/>
                <w:sz w:val="16"/>
                <w:szCs w:val="16"/>
              </w:rPr>
              <w:t xml:space="preserve"> Work</w:t>
            </w:r>
          </w:p>
        </w:tc>
      </w:tr>
    </w:tbl>
    <w:p w:rsidR="00EA1D9E" w:rsidRDefault="00EA1D9E" w:rsidP="00EA1D9E">
      <w:pPr>
        <w:ind w:left="360"/>
        <w:jc w:val="both"/>
        <w:rPr>
          <w:rFonts w:asciiTheme="majorHAnsi" w:hAnsiTheme="majorHAnsi"/>
          <w:sz w:val="20"/>
          <w:szCs w:val="20"/>
        </w:rPr>
      </w:pPr>
    </w:p>
    <w:p w:rsidR="00EA1D9E" w:rsidRDefault="00EA1D9E" w:rsidP="00EA1D9E">
      <w:pPr>
        <w:jc w:val="both"/>
        <w:rPr>
          <w:rFonts w:ascii="Calibri" w:hAnsi="Calibri" w:cs="Calibri"/>
          <w:sz w:val="20"/>
          <w:szCs w:val="20"/>
        </w:rPr>
      </w:pPr>
      <w:r>
        <w:rPr>
          <w:rFonts w:ascii="Calibri" w:hAnsi="Calibri" w:cs="Calibri"/>
          <w:sz w:val="20"/>
          <w:szCs w:val="20"/>
        </w:rPr>
        <w:t>The tender documents will be available only on the Institute’s e-tendering website (</w:t>
      </w:r>
      <w:hyperlink r:id="rId9">
        <w:r>
          <w:rPr>
            <w:rFonts w:ascii="Calibri" w:hAnsi="Calibri" w:cs="Calibri"/>
            <w:b/>
            <w:color w:val="0000FF"/>
            <w:sz w:val="20"/>
            <w:szCs w:val="20"/>
            <w:u w:val="single"/>
          </w:rPr>
          <w:t>www.tenderwizard.com/SLIET</w:t>
        </w:r>
      </w:hyperlink>
      <w:r>
        <w:rPr>
          <w:rFonts w:ascii="Calibri" w:hAnsi="Calibri" w:cs="Calibri"/>
          <w:sz w:val="20"/>
          <w:szCs w:val="20"/>
        </w:rPr>
        <w:t xml:space="preserve">) and should be submitted </w:t>
      </w:r>
      <w:r>
        <w:rPr>
          <w:rFonts w:ascii="Calibri" w:hAnsi="Calibri" w:cs="Calibri"/>
          <w:b/>
          <w:sz w:val="20"/>
          <w:szCs w:val="20"/>
        </w:rPr>
        <w:t>ONLINE</w:t>
      </w:r>
      <w:r>
        <w:rPr>
          <w:rFonts w:ascii="Calibri" w:hAnsi="Calibri" w:cs="Calibri"/>
          <w:sz w:val="20"/>
          <w:szCs w:val="20"/>
        </w:rPr>
        <w:t xml:space="preserve"> through e-tendering along with </w:t>
      </w:r>
      <w:r>
        <w:rPr>
          <w:rFonts w:ascii="Calibri" w:hAnsi="Calibri" w:cs="Calibri"/>
          <w:bCs/>
          <w:sz w:val="20"/>
          <w:szCs w:val="20"/>
        </w:rPr>
        <w:t xml:space="preserve">tender fee </w:t>
      </w:r>
      <w:r>
        <w:rPr>
          <w:rFonts w:ascii="Calibri" w:hAnsi="Calibri" w:cs="Calibri"/>
          <w:sz w:val="20"/>
          <w:szCs w:val="20"/>
        </w:rPr>
        <w:t>of Rs.1000/- (non-refundable) through e-payment (IPG (Direct debit) NEFT/OTC and Internet banking only).  The tender processing fee (Non Refundable) should be paid through e-payment (debit or credit cards and internet banking). Separate Tender is required to be submitted for each work.</w:t>
      </w:r>
    </w:p>
    <w:p w:rsidR="00EA1D9E" w:rsidRDefault="00EA1D9E" w:rsidP="00EA1D9E">
      <w:pPr>
        <w:jc w:val="both"/>
        <w:rPr>
          <w:rFonts w:ascii="Calibri" w:hAnsi="Calibri" w:cs="Calibri"/>
          <w:sz w:val="20"/>
          <w:szCs w:val="20"/>
        </w:rPr>
      </w:pPr>
      <w:r>
        <w:rPr>
          <w:rFonts w:ascii="Calibri" w:hAnsi="Calibri" w:cs="Calibri"/>
          <w:sz w:val="20"/>
          <w:szCs w:val="20"/>
        </w:rPr>
        <w:t xml:space="preserve">It is mandatory for the Bidders/ Contractors to get themselves registered with </w:t>
      </w:r>
      <w:hyperlink r:id="rId10">
        <w:r>
          <w:rPr>
            <w:rFonts w:ascii="Calibri" w:hAnsi="Calibri" w:cs="Calibri"/>
            <w:color w:val="0000FF"/>
            <w:sz w:val="20"/>
            <w:szCs w:val="20"/>
            <w:u w:val="single"/>
          </w:rPr>
          <w:t>www.tenderwizard.com/SLIET</w:t>
        </w:r>
      </w:hyperlink>
      <w:r>
        <w:rPr>
          <w:rFonts w:ascii="Calibri" w:hAnsi="Calibri" w:cs="Calibri"/>
          <w:sz w:val="20"/>
          <w:szCs w:val="20"/>
        </w:rPr>
        <w:t>&amp; get User Id, password &amp; Class-3 Digital signatures who wish to participate in the E-tendering process (mob.no-8146699866).</w:t>
      </w:r>
    </w:p>
    <w:p w:rsidR="00EA1D9E" w:rsidRDefault="00EA1D9E" w:rsidP="00EA1D9E">
      <w:pPr>
        <w:autoSpaceDE w:val="0"/>
        <w:autoSpaceDN w:val="0"/>
        <w:adjustRightInd w:val="0"/>
        <w:ind w:right="273"/>
        <w:rPr>
          <w:rFonts w:ascii="Calibri" w:hAnsi="Calibri" w:cs="Calibri"/>
          <w:b/>
          <w:sz w:val="20"/>
          <w:szCs w:val="20"/>
          <w:u w:val="single"/>
        </w:rPr>
      </w:pPr>
      <w:r>
        <w:rPr>
          <w:rFonts w:ascii="Calibri" w:hAnsi="Calibri" w:cs="Calibri"/>
          <w:b/>
          <w:sz w:val="20"/>
          <w:szCs w:val="20"/>
        </w:rPr>
        <w:lastRenderedPageBreak/>
        <w:t xml:space="preserve">For more details the Bidders/contractors may contact Mr. Pavitar Singh on behalf of M/s ITI Limited on 01723953764/ mobile no.8146699866 or e-mail </w:t>
      </w:r>
      <w:hyperlink r:id="rId11" w:history="1">
        <w:r>
          <w:rPr>
            <w:rStyle w:val="Hyperlink"/>
            <w:rFonts w:ascii="Calibri" w:hAnsi="Calibri" w:cs="Calibri"/>
            <w:b/>
            <w:sz w:val="20"/>
            <w:szCs w:val="20"/>
          </w:rPr>
          <w:t>pavitar.s@etenderwizard.com</w:t>
        </w:r>
      </w:hyperlink>
    </w:p>
    <w:p w:rsidR="00EA1D9E" w:rsidRDefault="00EA1D9E" w:rsidP="00EA1D9E">
      <w:pPr>
        <w:autoSpaceDE w:val="0"/>
        <w:autoSpaceDN w:val="0"/>
        <w:adjustRightInd w:val="0"/>
        <w:jc w:val="center"/>
        <w:rPr>
          <w:rFonts w:asciiTheme="majorHAnsi" w:hAnsiTheme="majorHAnsi"/>
          <w:b/>
          <w:bCs/>
          <w:sz w:val="20"/>
          <w:szCs w:val="20"/>
        </w:rPr>
      </w:pPr>
    </w:p>
    <w:p w:rsidR="00EA1D9E" w:rsidRDefault="00EA1D9E" w:rsidP="00EA1D9E">
      <w:pPr>
        <w:autoSpaceDE w:val="0"/>
        <w:autoSpaceDN w:val="0"/>
        <w:adjustRightInd w:val="0"/>
        <w:jc w:val="center"/>
        <w:rPr>
          <w:rFonts w:asciiTheme="majorHAnsi" w:hAnsiTheme="majorHAnsi"/>
          <w:b/>
          <w:bCs/>
          <w:sz w:val="20"/>
          <w:szCs w:val="20"/>
        </w:rPr>
      </w:pPr>
      <w:r>
        <w:rPr>
          <w:rFonts w:asciiTheme="majorHAnsi" w:hAnsiTheme="majorHAnsi"/>
          <w:b/>
          <w:bCs/>
          <w:sz w:val="20"/>
          <w:szCs w:val="20"/>
        </w:rPr>
        <w:t>Schedule of Tenders</w:t>
      </w:r>
    </w:p>
    <w:tbl>
      <w:tblPr>
        <w:tblpPr w:leftFromText="180" w:rightFromText="180" w:vertAnchor="text" w:horzAnchor="margin" w:tblpX="126" w:tblpY="6"/>
        <w:tblW w:w="9558" w:type="dxa"/>
        <w:tblLayout w:type="fixed"/>
        <w:tblLook w:val="04A0"/>
      </w:tblPr>
      <w:tblGrid>
        <w:gridCol w:w="1278"/>
        <w:gridCol w:w="1350"/>
        <w:gridCol w:w="1620"/>
        <w:gridCol w:w="2800"/>
        <w:gridCol w:w="2510"/>
      </w:tblGrid>
      <w:tr w:rsidR="00EA1D9E" w:rsidTr="00690C3C">
        <w:trPr>
          <w:trHeight w:val="685"/>
        </w:trPr>
        <w:tc>
          <w:tcPr>
            <w:tcW w:w="262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A1D9E" w:rsidRDefault="00EA1D9E" w:rsidP="00690C3C">
            <w:pPr>
              <w:autoSpaceDE w:val="0"/>
              <w:autoSpaceDN w:val="0"/>
              <w:adjustRightInd w:val="0"/>
              <w:jc w:val="center"/>
              <w:rPr>
                <w:rFonts w:asciiTheme="majorHAnsi" w:hAnsiTheme="majorHAnsi"/>
                <w:sz w:val="20"/>
                <w:szCs w:val="20"/>
              </w:rPr>
            </w:pPr>
            <w:r>
              <w:rPr>
                <w:rFonts w:asciiTheme="majorHAnsi" w:hAnsiTheme="majorHAnsi"/>
                <w:b/>
                <w:bCs/>
                <w:sz w:val="20"/>
                <w:szCs w:val="20"/>
              </w:rPr>
              <w:t>Availability of Tenders online for Bidding</w:t>
            </w:r>
          </w:p>
        </w:tc>
        <w:tc>
          <w:tcPr>
            <w:tcW w:w="1620" w:type="dxa"/>
            <w:vMerge w:val="restart"/>
            <w:tcBorders>
              <w:top w:val="single" w:sz="2" w:space="0" w:color="000000"/>
              <w:left w:val="single" w:sz="2" w:space="0" w:color="000000"/>
              <w:bottom w:val="nil"/>
              <w:right w:val="single" w:sz="2" w:space="0" w:color="000000"/>
            </w:tcBorders>
            <w:shd w:val="clear" w:color="000000" w:fill="FFFFFF"/>
          </w:tcPr>
          <w:p w:rsidR="00EA1D9E" w:rsidRDefault="00EA1D9E" w:rsidP="00690C3C">
            <w:pPr>
              <w:autoSpaceDE w:val="0"/>
              <w:autoSpaceDN w:val="0"/>
              <w:adjustRightInd w:val="0"/>
              <w:jc w:val="center"/>
              <w:rPr>
                <w:rFonts w:asciiTheme="majorHAnsi" w:hAnsiTheme="majorHAnsi"/>
                <w:sz w:val="20"/>
                <w:szCs w:val="20"/>
              </w:rPr>
            </w:pPr>
            <w:r>
              <w:rPr>
                <w:rFonts w:asciiTheme="majorHAnsi" w:hAnsiTheme="majorHAnsi"/>
                <w:b/>
                <w:bCs/>
                <w:sz w:val="20"/>
                <w:szCs w:val="20"/>
              </w:rPr>
              <w:t>Last date of Submission for Online Bids</w:t>
            </w:r>
          </w:p>
        </w:tc>
        <w:tc>
          <w:tcPr>
            <w:tcW w:w="2800" w:type="dxa"/>
            <w:vMerge w:val="restart"/>
            <w:tcBorders>
              <w:top w:val="single" w:sz="2" w:space="0" w:color="000000"/>
              <w:left w:val="single" w:sz="2" w:space="0" w:color="000000"/>
              <w:bottom w:val="nil"/>
              <w:right w:val="single" w:sz="2" w:space="0" w:color="000000"/>
            </w:tcBorders>
            <w:shd w:val="clear" w:color="000000" w:fill="FFFFFF"/>
          </w:tcPr>
          <w:p w:rsidR="00EA1D9E" w:rsidRDefault="00EA1D9E" w:rsidP="00690C3C">
            <w:pPr>
              <w:autoSpaceDE w:val="0"/>
              <w:autoSpaceDN w:val="0"/>
              <w:adjustRightInd w:val="0"/>
              <w:jc w:val="center"/>
              <w:rPr>
                <w:rFonts w:asciiTheme="majorHAnsi" w:hAnsiTheme="majorHAnsi"/>
                <w:b/>
                <w:bCs/>
                <w:sz w:val="20"/>
                <w:szCs w:val="20"/>
              </w:rPr>
            </w:pPr>
            <w:r>
              <w:rPr>
                <w:rFonts w:asciiTheme="majorHAnsi" w:hAnsiTheme="majorHAnsi"/>
                <w:b/>
                <w:bCs/>
                <w:sz w:val="20"/>
                <w:szCs w:val="20"/>
              </w:rPr>
              <w:t xml:space="preserve">Date and time of opening of </w:t>
            </w:r>
            <w:r>
              <w:rPr>
                <w:rFonts w:asciiTheme="majorHAnsi" w:hAnsiTheme="majorHAnsi"/>
                <w:b/>
                <w:bCs/>
                <w:sz w:val="20"/>
                <w:szCs w:val="20"/>
              </w:rPr>
              <w:br/>
              <w:t>Technical Bids in the Estate Office, SLIET, Longowal</w:t>
            </w:r>
          </w:p>
        </w:tc>
        <w:tc>
          <w:tcPr>
            <w:tcW w:w="2510" w:type="dxa"/>
            <w:vMerge w:val="restart"/>
            <w:tcBorders>
              <w:top w:val="single" w:sz="2" w:space="0" w:color="000000"/>
              <w:left w:val="single" w:sz="2" w:space="0" w:color="000000"/>
              <w:bottom w:val="nil"/>
              <w:right w:val="single" w:sz="2" w:space="0" w:color="000000"/>
            </w:tcBorders>
            <w:shd w:val="clear" w:color="000000" w:fill="FFFFFF"/>
          </w:tcPr>
          <w:p w:rsidR="00EA1D9E" w:rsidRDefault="00EA1D9E" w:rsidP="00690C3C">
            <w:pPr>
              <w:autoSpaceDE w:val="0"/>
              <w:autoSpaceDN w:val="0"/>
              <w:adjustRightInd w:val="0"/>
              <w:jc w:val="center"/>
              <w:rPr>
                <w:rFonts w:asciiTheme="majorHAnsi" w:hAnsiTheme="majorHAnsi"/>
                <w:b/>
                <w:bCs/>
                <w:sz w:val="20"/>
                <w:szCs w:val="20"/>
              </w:rPr>
            </w:pPr>
            <w:r>
              <w:rPr>
                <w:rFonts w:asciiTheme="majorHAnsi" w:hAnsiTheme="majorHAnsi"/>
                <w:b/>
                <w:bCs/>
                <w:sz w:val="20"/>
                <w:szCs w:val="20"/>
              </w:rPr>
              <w:t>Date and time of opening of Financial Bids in the Estate Office, SLIET, Longowal</w:t>
            </w:r>
          </w:p>
        </w:tc>
      </w:tr>
      <w:tr w:rsidR="00EA1D9E" w:rsidTr="00690C3C">
        <w:trPr>
          <w:trHeight w:val="1"/>
        </w:trPr>
        <w:tc>
          <w:tcPr>
            <w:tcW w:w="1278" w:type="dxa"/>
            <w:tcBorders>
              <w:top w:val="single" w:sz="2" w:space="0" w:color="000000"/>
              <w:left w:val="single" w:sz="2" w:space="0" w:color="000000"/>
              <w:bottom w:val="single" w:sz="2" w:space="0" w:color="000000"/>
              <w:right w:val="single" w:sz="2" w:space="0" w:color="000000"/>
            </w:tcBorders>
            <w:shd w:val="clear" w:color="000000" w:fill="FFFFFF"/>
          </w:tcPr>
          <w:p w:rsidR="00EA1D9E" w:rsidRDefault="00EA1D9E" w:rsidP="00690C3C">
            <w:pPr>
              <w:autoSpaceDE w:val="0"/>
              <w:autoSpaceDN w:val="0"/>
              <w:adjustRightInd w:val="0"/>
              <w:jc w:val="center"/>
              <w:rPr>
                <w:rFonts w:asciiTheme="majorHAnsi" w:hAnsiTheme="majorHAnsi"/>
                <w:b/>
                <w:sz w:val="20"/>
                <w:szCs w:val="20"/>
              </w:rPr>
            </w:pPr>
            <w:r>
              <w:rPr>
                <w:rFonts w:asciiTheme="majorHAnsi" w:hAnsiTheme="majorHAnsi"/>
                <w:b/>
                <w:sz w:val="20"/>
                <w:szCs w:val="20"/>
              </w:rPr>
              <w:t>From</w:t>
            </w:r>
          </w:p>
        </w:tc>
        <w:tc>
          <w:tcPr>
            <w:tcW w:w="1350" w:type="dxa"/>
            <w:tcBorders>
              <w:top w:val="single" w:sz="2" w:space="0" w:color="000000"/>
              <w:left w:val="single" w:sz="2" w:space="0" w:color="000000"/>
              <w:bottom w:val="single" w:sz="2" w:space="0" w:color="000000"/>
              <w:right w:val="single" w:sz="2" w:space="0" w:color="000000"/>
            </w:tcBorders>
            <w:shd w:val="clear" w:color="000000" w:fill="FFFFFF"/>
          </w:tcPr>
          <w:p w:rsidR="00EA1D9E" w:rsidRDefault="00EA1D9E" w:rsidP="00690C3C">
            <w:pPr>
              <w:autoSpaceDE w:val="0"/>
              <w:autoSpaceDN w:val="0"/>
              <w:adjustRightInd w:val="0"/>
              <w:jc w:val="center"/>
              <w:rPr>
                <w:rFonts w:asciiTheme="majorHAnsi" w:hAnsiTheme="majorHAnsi"/>
                <w:b/>
                <w:sz w:val="20"/>
                <w:szCs w:val="20"/>
              </w:rPr>
            </w:pPr>
            <w:r>
              <w:rPr>
                <w:rFonts w:asciiTheme="majorHAnsi" w:hAnsiTheme="majorHAnsi"/>
                <w:b/>
                <w:sz w:val="20"/>
                <w:szCs w:val="20"/>
              </w:rPr>
              <w:t>To</w:t>
            </w:r>
          </w:p>
        </w:tc>
        <w:tc>
          <w:tcPr>
            <w:tcW w:w="1620" w:type="dxa"/>
            <w:vMerge/>
            <w:tcBorders>
              <w:left w:val="single" w:sz="2" w:space="0" w:color="000000"/>
              <w:bottom w:val="single" w:sz="2" w:space="0" w:color="000000"/>
              <w:right w:val="single" w:sz="2" w:space="0" w:color="000000"/>
            </w:tcBorders>
            <w:shd w:val="clear" w:color="000000" w:fill="FFFFFF"/>
          </w:tcPr>
          <w:p w:rsidR="00EA1D9E" w:rsidRDefault="00EA1D9E" w:rsidP="00690C3C">
            <w:pPr>
              <w:autoSpaceDE w:val="0"/>
              <w:autoSpaceDN w:val="0"/>
              <w:adjustRightInd w:val="0"/>
              <w:jc w:val="center"/>
              <w:rPr>
                <w:rFonts w:asciiTheme="majorHAnsi" w:hAnsiTheme="majorHAnsi"/>
                <w:sz w:val="20"/>
                <w:szCs w:val="20"/>
              </w:rPr>
            </w:pPr>
          </w:p>
        </w:tc>
        <w:tc>
          <w:tcPr>
            <w:tcW w:w="2800" w:type="dxa"/>
            <w:vMerge/>
            <w:tcBorders>
              <w:left w:val="single" w:sz="2" w:space="0" w:color="000000"/>
              <w:bottom w:val="single" w:sz="2" w:space="0" w:color="000000"/>
              <w:right w:val="single" w:sz="2" w:space="0" w:color="000000"/>
            </w:tcBorders>
            <w:shd w:val="clear" w:color="000000" w:fill="FFFFFF"/>
          </w:tcPr>
          <w:p w:rsidR="00EA1D9E" w:rsidRDefault="00EA1D9E" w:rsidP="00690C3C">
            <w:pPr>
              <w:autoSpaceDE w:val="0"/>
              <w:autoSpaceDN w:val="0"/>
              <w:adjustRightInd w:val="0"/>
              <w:jc w:val="center"/>
              <w:rPr>
                <w:rFonts w:asciiTheme="majorHAnsi" w:hAnsiTheme="majorHAnsi"/>
                <w:sz w:val="20"/>
                <w:szCs w:val="20"/>
              </w:rPr>
            </w:pPr>
          </w:p>
        </w:tc>
        <w:tc>
          <w:tcPr>
            <w:tcW w:w="2510" w:type="dxa"/>
            <w:vMerge/>
            <w:tcBorders>
              <w:left w:val="single" w:sz="2" w:space="0" w:color="000000"/>
              <w:bottom w:val="single" w:sz="2" w:space="0" w:color="000000"/>
              <w:right w:val="single" w:sz="2" w:space="0" w:color="000000"/>
            </w:tcBorders>
            <w:shd w:val="clear" w:color="000000" w:fill="FFFFFF"/>
          </w:tcPr>
          <w:p w:rsidR="00EA1D9E" w:rsidRDefault="00EA1D9E" w:rsidP="00690C3C">
            <w:pPr>
              <w:autoSpaceDE w:val="0"/>
              <w:autoSpaceDN w:val="0"/>
              <w:adjustRightInd w:val="0"/>
              <w:jc w:val="center"/>
              <w:rPr>
                <w:rFonts w:asciiTheme="majorHAnsi" w:hAnsiTheme="majorHAnsi"/>
                <w:sz w:val="20"/>
                <w:szCs w:val="20"/>
              </w:rPr>
            </w:pPr>
          </w:p>
        </w:tc>
      </w:tr>
      <w:tr w:rsidR="00EA1D9E" w:rsidTr="00690C3C">
        <w:trPr>
          <w:trHeight w:val="584"/>
        </w:trPr>
        <w:tc>
          <w:tcPr>
            <w:tcW w:w="1278" w:type="dxa"/>
            <w:tcBorders>
              <w:top w:val="single" w:sz="2" w:space="0" w:color="000000"/>
              <w:left w:val="single" w:sz="2" w:space="0" w:color="000000"/>
              <w:bottom w:val="single" w:sz="2" w:space="0" w:color="000000"/>
              <w:right w:val="single" w:sz="2" w:space="0" w:color="000000"/>
            </w:tcBorders>
            <w:shd w:val="clear" w:color="000000" w:fill="FFFFFF"/>
          </w:tcPr>
          <w:p w:rsidR="00EA1D9E" w:rsidRPr="0019172B" w:rsidRDefault="00EA1D9E" w:rsidP="004F3292">
            <w:pPr>
              <w:autoSpaceDE w:val="0"/>
              <w:autoSpaceDN w:val="0"/>
              <w:adjustRightInd w:val="0"/>
              <w:jc w:val="center"/>
              <w:rPr>
                <w:b/>
                <w:sz w:val="20"/>
                <w:szCs w:val="20"/>
              </w:rPr>
            </w:pPr>
            <w:r>
              <w:rPr>
                <w:b/>
                <w:sz w:val="20"/>
                <w:szCs w:val="20"/>
              </w:rPr>
              <w:t>18.03.17</w:t>
            </w:r>
          </w:p>
        </w:tc>
        <w:tc>
          <w:tcPr>
            <w:tcW w:w="1350" w:type="dxa"/>
            <w:tcBorders>
              <w:top w:val="single" w:sz="2" w:space="0" w:color="000000"/>
              <w:left w:val="single" w:sz="2" w:space="0" w:color="000000"/>
              <w:bottom w:val="single" w:sz="2" w:space="0" w:color="000000"/>
              <w:right w:val="single" w:sz="2" w:space="0" w:color="000000"/>
            </w:tcBorders>
            <w:shd w:val="clear" w:color="000000" w:fill="FFFFFF"/>
          </w:tcPr>
          <w:p w:rsidR="00EA1D9E" w:rsidRPr="0019172B" w:rsidRDefault="00EA1D9E" w:rsidP="004F3292">
            <w:pPr>
              <w:autoSpaceDE w:val="0"/>
              <w:autoSpaceDN w:val="0"/>
              <w:adjustRightInd w:val="0"/>
              <w:spacing w:after="0"/>
              <w:jc w:val="center"/>
              <w:rPr>
                <w:b/>
                <w:sz w:val="20"/>
                <w:szCs w:val="20"/>
              </w:rPr>
            </w:pPr>
            <w:r>
              <w:rPr>
                <w:b/>
                <w:sz w:val="20"/>
                <w:szCs w:val="20"/>
              </w:rPr>
              <w:t>30.03.17</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EA1D9E" w:rsidRDefault="00EA1D9E" w:rsidP="004F3292">
            <w:pPr>
              <w:autoSpaceDE w:val="0"/>
              <w:autoSpaceDN w:val="0"/>
              <w:adjustRightInd w:val="0"/>
              <w:spacing w:after="0"/>
              <w:jc w:val="center"/>
              <w:rPr>
                <w:b/>
                <w:bCs/>
                <w:sz w:val="20"/>
                <w:szCs w:val="20"/>
              </w:rPr>
            </w:pPr>
            <w:r>
              <w:rPr>
                <w:b/>
                <w:bCs/>
                <w:sz w:val="20"/>
                <w:szCs w:val="20"/>
              </w:rPr>
              <w:t xml:space="preserve">30.03.17 </w:t>
            </w:r>
          </w:p>
          <w:p w:rsidR="00EA1D9E" w:rsidRPr="0019172B" w:rsidRDefault="00EA1D9E" w:rsidP="004F3292">
            <w:pPr>
              <w:autoSpaceDE w:val="0"/>
              <w:autoSpaceDN w:val="0"/>
              <w:adjustRightInd w:val="0"/>
              <w:spacing w:after="0"/>
              <w:jc w:val="center"/>
              <w:rPr>
                <w:b/>
                <w:bCs/>
                <w:sz w:val="20"/>
                <w:szCs w:val="20"/>
              </w:rPr>
            </w:pPr>
            <w:r>
              <w:rPr>
                <w:b/>
                <w:bCs/>
                <w:sz w:val="20"/>
                <w:szCs w:val="20"/>
              </w:rPr>
              <w:t>before 5:00 PM</w:t>
            </w:r>
          </w:p>
        </w:tc>
        <w:tc>
          <w:tcPr>
            <w:tcW w:w="2800" w:type="dxa"/>
            <w:tcBorders>
              <w:top w:val="single" w:sz="2" w:space="0" w:color="000000"/>
              <w:left w:val="single" w:sz="2" w:space="0" w:color="000000"/>
              <w:bottom w:val="single" w:sz="2" w:space="0" w:color="000000"/>
              <w:right w:val="single" w:sz="2" w:space="0" w:color="000000"/>
            </w:tcBorders>
            <w:shd w:val="clear" w:color="000000" w:fill="FFFFFF"/>
          </w:tcPr>
          <w:p w:rsidR="00EA1D9E" w:rsidRDefault="00EA1D9E" w:rsidP="004F3292">
            <w:pPr>
              <w:autoSpaceDE w:val="0"/>
              <w:autoSpaceDN w:val="0"/>
              <w:adjustRightInd w:val="0"/>
              <w:spacing w:after="0"/>
              <w:jc w:val="center"/>
              <w:rPr>
                <w:b/>
                <w:bCs/>
                <w:sz w:val="20"/>
                <w:szCs w:val="20"/>
              </w:rPr>
            </w:pPr>
            <w:r>
              <w:rPr>
                <w:b/>
                <w:bCs/>
                <w:sz w:val="20"/>
                <w:szCs w:val="20"/>
              </w:rPr>
              <w:t>31.03.17</w:t>
            </w:r>
          </w:p>
          <w:p w:rsidR="00EA1D9E" w:rsidRPr="0019172B" w:rsidRDefault="00EA1D9E" w:rsidP="004F3292">
            <w:pPr>
              <w:autoSpaceDE w:val="0"/>
              <w:autoSpaceDN w:val="0"/>
              <w:adjustRightInd w:val="0"/>
              <w:spacing w:after="0"/>
              <w:jc w:val="center"/>
              <w:rPr>
                <w:b/>
                <w:bCs/>
                <w:sz w:val="20"/>
                <w:szCs w:val="20"/>
              </w:rPr>
            </w:pPr>
            <w:r>
              <w:rPr>
                <w:b/>
                <w:bCs/>
                <w:sz w:val="20"/>
                <w:szCs w:val="20"/>
              </w:rPr>
              <w:t>At 9:00 AM</w:t>
            </w:r>
          </w:p>
        </w:tc>
        <w:tc>
          <w:tcPr>
            <w:tcW w:w="2510" w:type="dxa"/>
            <w:tcBorders>
              <w:top w:val="single" w:sz="2" w:space="0" w:color="000000"/>
              <w:left w:val="single" w:sz="2" w:space="0" w:color="000000"/>
              <w:bottom w:val="single" w:sz="2" w:space="0" w:color="000000"/>
              <w:right w:val="single" w:sz="2" w:space="0" w:color="000000"/>
            </w:tcBorders>
            <w:shd w:val="clear" w:color="000000" w:fill="FFFFFF"/>
          </w:tcPr>
          <w:p w:rsidR="00EA1D9E" w:rsidRDefault="00EA1D9E" w:rsidP="004F3292">
            <w:pPr>
              <w:autoSpaceDE w:val="0"/>
              <w:autoSpaceDN w:val="0"/>
              <w:adjustRightInd w:val="0"/>
              <w:spacing w:after="0"/>
              <w:jc w:val="center"/>
              <w:rPr>
                <w:b/>
                <w:bCs/>
                <w:sz w:val="20"/>
                <w:szCs w:val="20"/>
              </w:rPr>
            </w:pPr>
            <w:r>
              <w:rPr>
                <w:b/>
                <w:bCs/>
                <w:sz w:val="20"/>
                <w:szCs w:val="20"/>
              </w:rPr>
              <w:t>31.03.17</w:t>
            </w:r>
          </w:p>
          <w:p w:rsidR="00EA1D9E" w:rsidRPr="0019172B" w:rsidRDefault="00EA1D9E" w:rsidP="004F3292">
            <w:pPr>
              <w:autoSpaceDE w:val="0"/>
              <w:autoSpaceDN w:val="0"/>
              <w:adjustRightInd w:val="0"/>
              <w:spacing w:after="0"/>
              <w:jc w:val="center"/>
              <w:rPr>
                <w:b/>
                <w:bCs/>
                <w:sz w:val="20"/>
                <w:szCs w:val="20"/>
              </w:rPr>
            </w:pPr>
            <w:r>
              <w:rPr>
                <w:b/>
                <w:bCs/>
                <w:sz w:val="20"/>
                <w:szCs w:val="20"/>
              </w:rPr>
              <w:t>At 2:00 PM</w:t>
            </w:r>
          </w:p>
        </w:tc>
      </w:tr>
    </w:tbl>
    <w:p w:rsidR="00EA1D9E" w:rsidRDefault="00EA1D9E" w:rsidP="00EA1D9E">
      <w:pPr>
        <w:tabs>
          <w:tab w:val="left" w:pos="8550"/>
          <w:tab w:val="left" w:pos="10080"/>
        </w:tabs>
        <w:jc w:val="both"/>
        <w:rPr>
          <w:rFonts w:asciiTheme="majorHAnsi" w:hAnsiTheme="majorHAnsi"/>
          <w:sz w:val="20"/>
          <w:szCs w:val="20"/>
        </w:rPr>
      </w:pPr>
    </w:p>
    <w:p w:rsidR="00EA1D9E" w:rsidRDefault="00EA1D9E" w:rsidP="00EA1D9E">
      <w:pPr>
        <w:tabs>
          <w:tab w:val="left" w:pos="8550"/>
          <w:tab w:val="left" w:pos="10080"/>
        </w:tabs>
        <w:jc w:val="both"/>
        <w:rPr>
          <w:rFonts w:asciiTheme="majorHAnsi" w:hAnsiTheme="majorHAnsi"/>
          <w:sz w:val="20"/>
          <w:szCs w:val="20"/>
        </w:rPr>
      </w:pPr>
      <w:r>
        <w:rPr>
          <w:rFonts w:asciiTheme="majorHAnsi" w:hAnsiTheme="majorHAnsi"/>
          <w:sz w:val="20"/>
          <w:szCs w:val="20"/>
        </w:rPr>
        <w:t>Tenders received without earnest money, incomplete, conditional, telephonically or telegraphic shall not be entertained. The Director, SLIET reserves the right to reject any or all the tenders without assigning any reasons thereof.</w:t>
      </w:r>
    </w:p>
    <w:p w:rsidR="00EA1D9E" w:rsidRDefault="00EA1D9E" w:rsidP="00EA1D9E">
      <w:pPr>
        <w:autoSpaceDE w:val="0"/>
        <w:autoSpaceDN w:val="0"/>
        <w:adjustRightInd w:val="0"/>
        <w:jc w:val="both"/>
        <w:rPr>
          <w:rFonts w:ascii="Calibri" w:hAnsi="Calibri" w:cs="Calibri"/>
          <w:sz w:val="19"/>
          <w:szCs w:val="19"/>
        </w:rPr>
      </w:pPr>
      <w:r>
        <w:rPr>
          <w:rFonts w:ascii="Calibri" w:hAnsi="Calibri" w:cs="Calibri"/>
          <w:b/>
          <w:sz w:val="19"/>
          <w:szCs w:val="19"/>
        </w:rPr>
        <w:t>The tenderer should attach online the proofs of the following documents</w:t>
      </w:r>
      <w:r>
        <w:rPr>
          <w:rFonts w:ascii="Calibri" w:hAnsi="Calibri" w:cs="Calibri"/>
          <w:sz w:val="19"/>
          <w:szCs w:val="19"/>
        </w:rPr>
        <w:t xml:space="preserve"> (i) Official and Residential address of the Tenderer on an affidavit duly attested by Notary/ 1</w:t>
      </w:r>
      <w:r>
        <w:rPr>
          <w:rFonts w:ascii="Calibri" w:hAnsi="Calibri" w:cs="Calibri"/>
          <w:sz w:val="19"/>
          <w:szCs w:val="19"/>
          <w:vertAlign w:val="superscript"/>
        </w:rPr>
        <w:t>st</w:t>
      </w:r>
      <w:r>
        <w:rPr>
          <w:rFonts w:ascii="Calibri" w:hAnsi="Calibri" w:cs="Calibri"/>
          <w:sz w:val="19"/>
          <w:szCs w:val="19"/>
        </w:rPr>
        <w:t xml:space="preserve"> class Magistrate or any document containing photograph and Official &amp; Residential address (ii) Valid license under the Contract Labour (Regulation &amp; Abolition) Act.1970 of the last work successfully completed (iii) Proof of registration with EPFO &amp; E.P.F. Account No. (iv) PAN Number (v) TAN/VAT Number (vi) Service Tax No. &amp; Service Tax Clearance Certificate (if, any) (vii) Last three consecutive Income Tax Returns (viii) Eligibility related documents &amp; other certificate i.e. Experience Certificate as mentioned above etc. (ix) Earnest Money Deposit, Tender Fee and Tender processing Fee proof etc. (x) Appropriate Class enlistment/ Registration with Departments (xi) </w:t>
      </w:r>
      <w:r w:rsidRPr="001A0C11">
        <w:rPr>
          <w:rFonts w:asciiTheme="minorHAnsi" w:hAnsiTheme="minorHAnsi"/>
          <w:sz w:val="20"/>
          <w:szCs w:val="20"/>
        </w:rPr>
        <w:t xml:space="preserve">The bidder has to submit an </w:t>
      </w:r>
      <w:r>
        <w:rPr>
          <w:rFonts w:asciiTheme="minorHAnsi" w:hAnsiTheme="minorHAnsi"/>
          <w:sz w:val="20"/>
          <w:szCs w:val="20"/>
        </w:rPr>
        <w:t xml:space="preserve">undertaking in the form of </w:t>
      </w:r>
      <w:r w:rsidRPr="001A0C11">
        <w:rPr>
          <w:rFonts w:asciiTheme="minorHAnsi" w:hAnsiTheme="minorHAnsi"/>
          <w:sz w:val="20"/>
          <w:szCs w:val="20"/>
        </w:rPr>
        <w:t>Affidavit that his firm is not defaulter due to non-payment of EPF &amp;</w:t>
      </w:r>
      <w:r>
        <w:rPr>
          <w:rFonts w:asciiTheme="minorHAnsi" w:hAnsiTheme="minorHAnsi"/>
          <w:sz w:val="20"/>
          <w:szCs w:val="20"/>
        </w:rPr>
        <w:t xml:space="preserve"> is</w:t>
      </w:r>
      <w:r w:rsidRPr="001A0C11">
        <w:rPr>
          <w:rFonts w:asciiTheme="minorHAnsi" w:hAnsiTheme="minorHAnsi"/>
          <w:sz w:val="20"/>
          <w:szCs w:val="20"/>
        </w:rPr>
        <w:t xml:space="preserve"> following all EPF statu</w:t>
      </w:r>
      <w:r>
        <w:rPr>
          <w:rFonts w:asciiTheme="minorHAnsi" w:hAnsiTheme="minorHAnsi"/>
          <w:sz w:val="20"/>
          <w:szCs w:val="20"/>
        </w:rPr>
        <w:t>tory</w:t>
      </w:r>
      <w:r w:rsidRPr="001A0C11">
        <w:rPr>
          <w:rFonts w:asciiTheme="minorHAnsi" w:hAnsiTheme="minorHAnsi"/>
          <w:sz w:val="20"/>
          <w:szCs w:val="20"/>
        </w:rPr>
        <w:t xml:space="preserve"> requirements</w:t>
      </w:r>
      <w:r>
        <w:rPr>
          <w:rFonts w:ascii="Calibri" w:hAnsi="Calibri" w:cs="Calibri"/>
          <w:sz w:val="19"/>
          <w:szCs w:val="19"/>
        </w:rPr>
        <w:t>.</w:t>
      </w:r>
    </w:p>
    <w:p w:rsidR="00EA1D9E" w:rsidRDefault="00EA1D9E" w:rsidP="00EA1D9E">
      <w:pPr>
        <w:tabs>
          <w:tab w:val="left" w:pos="8550"/>
          <w:tab w:val="left" w:pos="10080"/>
        </w:tabs>
        <w:jc w:val="both"/>
        <w:rPr>
          <w:rFonts w:ascii="Calibri" w:hAnsi="Calibri" w:cs="Calibri"/>
          <w:sz w:val="19"/>
          <w:szCs w:val="19"/>
        </w:rPr>
      </w:pPr>
      <w:r>
        <w:rPr>
          <w:rFonts w:ascii="Calibri" w:hAnsi="Calibri" w:cs="Calibri"/>
          <w:sz w:val="19"/>
          <w:szCs w:val="19"/>
        </w:rPr>
        <w:t>The Earnest Money should be paid through e-payment (IPG (Direct debit)NEFT/OTC and Internet banking only). The earnest money in any other form shall not be accepted.</w:t>
      </w:r>
    </w:p>
    <w:p w:rsidR="00EA1D9E" w:rsidRDefault="00EA1D9E" w:rsidP="00EA1D9E">
      <w:pPr>
        <w:numPr>
          <w:ilvl w:val="0"/>
          <w:numId w:val="1"/>
        </w:numPr>
        <w:jc w:val="both"/>
        <w:rPr>
          <w:rFonts w:asciiTheme="majorHAnsi" w:hAnsiTheme="majorHAnsi"/>
          <w:sz w:val="19"/>
          <w:szCs w:val="19"/>
        </w:rPr>
      </w:pPr>
      <w:r>
        <w:rPr>
          <w:rFonts w:asciiTheme="majorHAnsi" w:hAnsiTheme="majorHAnsi"/>
          <w:sz w:val="19"/>
          <w:szCs w:val="19"/>
        </w:rPr>
        <w:t>All rates must be quoted on the proper form as per Tender Document.</w:t>
      </w:r>
    </w:p>
    <w:p w:rsidR="00EA1D9E" w:rsidRDefault="00EA1D9E" w:rsidP="00EA1D9E">
      <w:pPr>
        <w:numPr>
          <w:ilvl w:val="0"/>
          <w:numId w:val="1"/>
        </w:numPr>
        <w:jc w:val="both"/>
        <w:rPr>
          <w:rFonts w:asciiTheme="majorHAnsi" w:hAnsiTheme="majorHAnsi"/>
          <w:sz w:val="19"/>
          <w:szCs w:val="19"/>
        </w:rPr>
      </w:pPr>
      <w:r>
        <w:rPr>
          <w:rFonts w:asciiTheme="majorHAnsi" w:hAnsiTheme="majorHAnsi"/>
          <w:sz w:val="19"/>
          <w:szCs w:val="19"/>
        </w:rPr>
        <w:t>The tenderers should quote the rates and amount in figures as well as in words. The amount for each item should be worked out the requisite totals given.</w:t>
      </w:r>
    </w:p>
    <w:p w:rsidR="00EA1D9E" w:rsidRDefault="00EA1D9E" w:rsidP="00EA1D9E">
      <w:pPr>
        <w:numPr>
          <w:ilvl w:val="0"/>
          <w:numId w:val="1"/>
        </w:numPr>
        <w:jc w:val="both"/>
        <w:rPr>
          <w:rFonts w:asciiTheme="majorHAnsi" w:hAnsiTheme="majorHAnsi"/>
          <w:sz w:val="19"/>
          <w:szCs w:val="19"/>
        </w:rPr>
      </w:pPr>
      <w:r>
        <w:rPr>
          <w:rFonts w:asciiTheme="majorHAnsi" w:hAnsiTheme="majorHAnsi"/>
          <w:sz w:val="19"/>
          <w:szCs w:val="19"/>
        </w:rPr>
        <w:t>i) An item rate tender containing percentage below/above will be summarily rejected. However where a tendered voluntarily offers a rebate, this may be considered.</w:t>
      </w:r>
    </w:p>
    <w:p w:rsidR="00EA1D9E" w:rsidRDefault="00EA1D9E" w:rsidP="00EA1D9E">
      <w:pPr>
        <w:ind w:left="360"/>
        <w:jc w:val="both"/>
        <w:rPr>
          <w:rFonts w:asciiTheme="majorHAnsi" w:hAnsiTheme="majorHAnsi"/>
          <w:sz w:val="19"/>
          <w:szCs w:val="19"/>
        </w:rPr>
      </w:pPr>
      <w:r>
        <w:rPr>
          <w:rFonts w:asciiTheme="majorHAnsi" w:hAnsiTheme="majorHAnsi"/>
          <w:sz w:val="19"/>
          <w:szCs w:val="19"/>
        </w:rPr>
        <w:t xml:space="preserve">ii) Tender shall be strictly as per the condition of contract, conditional tenders are liable to be rejected.  </w:t>
      </w:r>
    </w:p>
    <w:p w:rsidR="00EA1D9E" w:rsidRDefault="00EA1D9E" w:rsidP="00EA1D9E">
      <w:pPr>
        <w:numPr>
          <w:ilvl w:val="0"/>
          <w:numId w:val="1"/>
        </w:numPr>
        <w:jc w:val="both"/>
        <w:rPr>
          <w:rFonts w:asciiTheme="majorHAnsi" w:hAnsiTheme="majorHAnsi"/>
          <w:sz w:val="19"/>
          <w:szCs w:val="19"/>
        </w:rPr>
      </w:pPr>
      <w:r>
        <w:rPr>
          <w:rFonts w:asciiTheme="majorHAnsi" w:hAnsiTheme="majorHAnsi"/>
          <w:sz w:val="19"/>
          <w:szCs w:val="19"/>
        </w:rPr>
        <w:t>i) Special care should be taken to write the rate and amounts in figures as well as in words in such a way that interpolation is not possible. The total amount should be written before the figure of Rupees and word paisa should be written at the end (unless the rates in whole rupees) and followed by the word only. It should invariably to upto two decimal places. While quoting the rates in schedule of quantities, the word only should be written closely following the amount and it should not be written in the next line.</w:t>
      </w:r>
    </w:p>
    <w:p w:rsidR="00EA1D9E" w:rsidRDefault="00EA1D9E" w:rsidP="00EA1D9E">
      <w:pPr>
        <w:ind w:left="360"/>
        <w:jc w:val="both"/>
        <w:rPr>
          <w:rFonts w:asciiTheme="majorHAnsi" w:hAnsiTheme="majorHAnsi"/>
          <w:sz w:val="19"/>
          <w:szCs w:val="19"/>
        </w:rPr>
      </w:pPr>
      <w:r>
        <w:rPr>
          <w:rFonts w:asciiTheme="majorHAnsi" w:hAnsiTheme="majorHAnsi"/>
          <w:sz w:val="19"/>
          <w:szCs w:val="19"/>
        </w:rPr>
        <w:t>ii) In case of any discrepancy between the rates quoted in figures and words than the rate on which the amount has been worked out shall be taken as correct. In case of amount is not worked out than the rate quoted in figures shall be taken as correct.</w:t>
      </w:r>
    </w:p>
    <w:p w:rsidR="00EA1D9E" w:rsidRDefault="00EA1D9E" w:rsidP="00EA1D9E">
      <w:pPr>
        <w:numPr>
          <w:ilvl w:val="0"/>
          <w:numId w:val="1"/>
        </w:numPr>
        <w:jc w:val="both"/>
        <w:rPr>
          <w:rFonts w:asciiTheme="majorHAnsi" w:hAnsiTheme="majorHAnsi"/>
          <w:sz w:val="19"/>
          <w:szCs w:val="19"/>
        </w:rPr>
      </w:pPr>
      <w:r>
        <w:rPr>
          <w:rFonts w:asciiTheme="majorHAnsi" w:hAnsiTheme="majorHAnsi"/>
          <w:sz w:val="19"/>
          <w:szCs w:val="19"/>
        </w:rPr>
        <w:lastRenderedPageBreak/>
        <w:t>The tender for works shall remain open for acceptance for a period of ninety days from date of opening of tenders. If any tenderer withdraws his tender before the said period or makes any modification in the terms and conditions of the tender which are not acceptable to the Institute, then the Institute shall without prejudice to any right or remedy, be at liberty to forfeit the earnest money absolutely.</w:t>
      </w:r>
    </w:p>
    <w:p w:rsidR="00EA1D9E" w:rsidRDefault="00EA1D9E" w:rsidP="00EA1D9E">
      <w:pPr>
        <w:numPr>
          <w:ilvl w:val="0"/>
          <w:numId w:val="1"/>
        </w:numPr>
        <w:jc w:val="both"/>
        <w:rPr>
          <w:rFonts w:asciiTheme="majorHAnsi" w:hAnsiTheme="majorHAnsi"/>
          <w:sz w:val="19"/>
          <w:szCs w:val="19"/>
        </w:rPr>
      </w:pPr>
      <w:r>
        <w:rPr>
          <w:rFonts w:asciiTheme="majorHAnsi" w:hAnsiTheme="majorHAnsi"/>
          <w:sz w:val="19"/>
          <w:szCs w:val="19"/>
        </w:rPr>
        <w:t xml:space="preserve">The acceptance of a tender will rest with the Director, SLIET who does not bind himself to accept the lowest tender, and reserves to himself the authority to reject any or all of the tenders received without the assignment of any reason. </w:t>
      </w:r>
      <w:r>
        <w:rPr>
          <w:rFonts w:asciiTheme="majorHAnsi" w:hAnsiTheme="majorHAnsi"/>
          <w:b/>
          <w:bCs/>
          <w:i/>
          <w:iCs/>
          <w:sz w:val="19"/>
          <w:szCs w:val="19"/>
        </w:rPr>
        <w:t xml:space="preserve">The decision of Tender Opening Committee will be final in case of any dispute </w:t>
      </w:r>
      <w:r>
        <w:rPr>
          <w:rFonts w:asciiTheme="majorHAnsi" w:hAnsiTheme="majorHAnsi"/>
          <w:b/>
          <w:bCs/>
          <w:sz w:val="19"/>
          <w:szCs w:val="19"/>
        </w:rPr>
        <w:t xml:space="preserve">during </w:t>
      </w:r>
      <w:r>
        <w:rPr>
          <w:rFonts w:asciiTheme="majorHAnsi" w:hAnsiTheme="majorHAnsi"/>
          <w:b/>
          <w:bCs/>
          <w:i/>
          <w:iCs/>
          <w:sz w:val="19"/>
          <w:szCs w:val="19"/>
        </w:rPr>
        <w:t>Tender Opening Process</w:t>
      </w:r>
      <w:r>
        <w:rPr>
          <w:rFonts w:asciiTheme="majorHAnsi" w:hAnsiTheme="majorHAnsi"/>
          <w:b/>
          <w:bCs/>
          <w:sz w:val="19"/>
          <w:szCs w:val="19"/>
        </w:rPr>
        <w:t xml:space="preserve">. </w:t>
      </w:r>
      <w:r>
        <w:rPr>
          <w:rFonts w:asciiTheme="majorHAnsi" w:hAnsiTheme="majorHAnsi"/>
          <w:sz w:val="19"/>
          <w:szCs w:val="19"/>
        </w:rPr>
        <w:t xml:space="preserve">All tenders in which any of the prescribed conditions are not fulfilled or are incomplete in any respect are liable to be rejected.   </w:t>
      </w:r>
    </w:p>
    <w:p w:rsidR="00EA1D9E" w:rsidRDefault="00EA1D9E" w:rsidP="00EA1D9E">
      <w:pPr>
        <w:numPr>
          <w:ilvl w:val="0"/>
          <w:numId w:val="1"/>
        </w:numPr>
        <w:jc w:val="both"/>
        <w:rPr>
          <w:rFonts w:asciiTheme="majorHAnsi" w:hAnsiTheme="majorHAnsi"/>
          <w:sz w:val="19"/>
          <w:szCs w:val="19"/>
        </w:rPr>
      </w:pPr>
      <w:r>
        <w:rPr>
          <w:rFonts w:asciiTheme="majorHAnsi" w:hAnsiTheme="majorHAnsi"/>
          <w:sz w:val="19"/>
          <w:szCs w:val="19"/>
        </w:rPr>
        <w:t>On acceptance of the tender, the name of the accredited representative(s) of the contractor who would be responsible for taking instructions from the Engineer-in-charge shall be intimated to the undersigned.</w:t>
      </w:r>
    </w:p>
    <w:p w:rsidR="00EA1D9E" w:rsidRDefault="00EA1D9E" w:rsidP="00EA1D9E">
      <w:pPr>
        <w:numPr>
          <w:ilvl w:val="0"/>
          <w:numId w:val="1"/>
        </w:numPr>
        <w:jc w:val="both"/>
        <w:rPr>
          <w:rFonts w:asciiTheme="majorHAnsi" w:hAnsiTheme="majorHAnsi"/>
          <w:sz w:val="19"/>
          <w:szCs w:val="19"/>
        </w:rPr>
      </w:pPr>
      <w:r>
        <w:rPr>
          <w:rFonts w:asciiTheme="majorHAnsi" w:hAnsiTheme="majorHAnsi"/>
          <w:sz w:val="19"/>
          <w:szCs w:val="19"/>
        </w:rPr>
        <w:t>Canvassing in connection with tenders is strictly prohibited and the tender submitted by the contractors who resort to canvassing will be liable to rejection.</w:t>
      </w:r>
    </w:p>
    <w:p w:rsidR="00EA1D9E" w:rsidRDefault="00EA1D9E" w:rsidP="00EA1D9E">
      <w:pPr>
        <w:numPr>
          <w:ilvl w:val="0"/>
          <w:numId w:val="1"/>
        </w:numPr>
        <w:jc w:val="both"/>
        <w:rPr>
          <w:rFonts w:asciiTheme="majorHAnsi" w:hAnsiTheme="majorHAnsi"/>
          <w:sz w:val="19"/>
          <w:szCs w:val="19"/>
        </w:rPr>
      </w:pPr>
      <w:r>
        <w:rPr>
          <w:rFonts w:asciiTheme="majorHAnsi" w:hAnsiTheme="majorHAnsi"/>
          <w:sz w:val="19"/>
          <w:szCs w:val="19"/>
        </w:rPr>
        <w:t>The tenderer shall not be permitted to tender for work in the SLIET responsible for award and execution of contractors in which his near relative is posted as Accountant or as an Officer in any capacity between the grades of Estate Officer and Assistant Engineer (both inclusive). He shall also intimate the names of persons who are working with in any capacity or are subsequently employed by him and who are near relatives to any of the officers in the Institute. Any breach of this condition by the tenderer would render him liable to be removed from the approved list of contractors of this Institute.</w:t>
      </w:r>
    </w:p>
    <w:p w:rsidR="00EA1D9E" w:rsidRDefault="00EA1D9E" w:rsidP="00EA1D9E">
      <w:pPr>
        <w:numPr>
          <w:ilvl w:val="0"/>
          <w:numId w:val="1"/>
        </w:numPr>
        <w:jc w:val="both"/>
        <w:rPr>
          <w:rFonts w:asciiTheme="majorHAnsi" w:hAnsiTheme="majorHAnsi"/>
          <w:sz w:val="19"/>
          <w:szCs w:val="19"/>
        </w:rPr>
      </w:pPr>
      <w:r>
        <w:rPr>
          <w:rFonts w:asciiTheme="majorHAnsi" w:hAnsiTheme="majorHAnsi"/>
          <w:sz w:val="19"/>
          <w:szCs w:val="19"/>
        </w:rPr>
        <w:t>Sales tax or any other tax on material in respect of the contract shall be payable by the contractor and Institute will not entertain any claim whatsoever.</w:t>
      </w:r>
    </w:p>
    <w:p w:rsidR="00EA1D9E" w:rsidRDefault="00EA1D9E" w:rsidP="00EA1D9E">
      <w:pPr>
        <w:numPr>
          <w:ilvl w:val="0"/>
          <w:numId w:val="1"/>
        </w:numPr>
        <w:jc w:val="both"/>
        <w:rPr>
          <w:rFonts w:asciiTheme="majorHAnsi" w:hAnsiTheme="majorHAnsi"/>
          <w:b/>
          <w:bCs/>
          <w:i/>
          <w:iCs/>
          <w:sz w:val="19"/>
          <w:szCs w:val="19"/>
        </w:rPr>
      </w:pPr>
      <w:r>
        <w:rPr>
          <w:rFonts w:asciiTheme="majorHAnsi" w:hAnsiTheme="majorHAnsi"/>
          <w:b/>
          <w:bCs/>
          <w:i/>
          <w:iCs/>
          <w:sz w:val="19"/>
          <w:szCs w:val="19"/>
        </w:rPr>
        <w:t>The bidder should take into consideration sales tax, VAT and any other Govt. levy’s while quoting the rate of material.</w:t>
      </w:r>
    </w:p>
    <w:p w:rsidR="00EA1D9E" w:rsidRDefault="00EA1D9E" w:rsidP="00EA1D9E">
      <w:pPr>
        <w:numPr>
          <w:ilvl w:val="0"/>
          <w:numId w:val="1"/>
        </w:numPr>
        <w:jc w:val="both"/>
        <w:rPr>
          <w:rFonts w:asciiTheme="majorHAnsi" w:hAnsiTheme="majorHAnsi"/>
          <w:sz w:val="19"/>
          <w:szCs w:val="19"/>
        </w:rPr>
      </w:pPr>
      <w:r>
        <w:rPr>
          <w:rFonts w:asciiTheme="majorHAnsi" w:hAnsiTheme="majorHAnsi"/>
          <w:bCs/>
          <w:sz w:val="19"/>
          <w:szCs w:val="19"/>
        </w:rPr>
        <w:t>In case the last date for opening Technical &amp; Financial Bid is holiday then these will opened on the next working day at same time &amp; venue.</w:t>
      </w:r>
    </w:p>
    <w:p w:rsidR="00EA1D9E" w:rsidRDefault="00EA1D9E" w:rsidP="00EA1D9E">
      <w:pPr>
        <w:numPr>
          <w:ilvl w:val="0"/>
          <w:numId w:val="1"/>
        </w:numPr>
        <w:jc w:val="both"/>
        <w:rPr>
          <w:rFonts w:asciiTheme="majorHAnsi" w:hAnsiTheme="majorHAnsi"/>
          <w:sz w:val="19"/>
          <w:szCs w:val="19"/>
        </w:rPr>
      </w:pPr>
      <w:r>
        <w:rPr>
          <w:rFonts w:asciiTheme="majorHAnsi" w:hAnsiTheme="majorHAnsi"/>
          <w:bCs/>
          <w:sz w:val="19"/>
          <w:szCs w:val="19"/>
        </w:rPr>
        <w:t>The tenderer is to submit performance certificate from the client he served and providing experience certificate of the work.</w:t>
      </w:r>
    </w:p>
    <w:p w:rsidR="00EA1D9E" w:rsidRDefault="00EA1D9E" w:rsidP="00EA1D9E">
      <w:pPr>
        <w:numPr>
          <w:ilvl w:val="0"/>
          <w:numId w:val="1"/>
        </w:numPr>
        <w:jc w:val="both"/>
        <w:rPr>
          <w:rFonts w:asciiTheme="majorHAnsi" w:hAnsiTheme="majorHAnsi"/>
          <w:sz w:val="19"/>
          <w:szCs w:val="19"/>
        </w:rPr>
      </w:pPr>
      <w:r>
        <w:rPr>
          <w:rFonts w:asciiTheme="majorHAnsi" w:hAnsiTheme="majorHAnsi"/>
          <w:bCs/>
          <w:sz w:val="19"/>
          <w:szCs w:val="19"/>
        </w:rPr>
        <w:t xml:space="preserve">The tenderers who do not attach the minimum of satisfactory performance certificate for the above said period will not be considered and their tender is liable to be rejected. Performa is enclosed at Annexure -‘B’. </w:t>
      </w:r>
    </w:p>
    <w:p w:rsidR="00EA1D9E" w:rsidRDefault="00EA1D9E" w:rsidP="00EA1D9E">
      <w:pPr>
        <w:numPr>
          <w:ilvl w:val="0"/>
          <w:numId w:val="1"/>
        </w:numPr>
        <w:jc w:val="both"/>
        <w:rPr>
          <w:rFonts w:asciiTheme="majorHAnsi" w:hAnsiTheme="majorHAnsi"/>
          <w:b/>
          <w:bCs/>
          <w:i/>
          <w:iCs/>
          <w:sz w:val="19"/>
          <w:szCs w:val="19"/>
        </w:rPr>
      </w:pPr>
      <w:r>
        <w:rPr>
          <w:rFonts w:asciiTheme="majorHAnsi" w:hAnsiTheme="majorHAnsi"/>
          <w:b/>
          <w:bCs/>
          <w:i/>
          <w:iCs/>
          <w:sz w:val="19"/>
          <w:szCs w:val="19"/>
        </w:rPr>
        <w:t>In case the rates of minimum wages of Government are increased during the applicability of this contract, the amount of Contract will not be revised to pay the increased wages to the workers as and when revised by the Government. However, the contractor is bound to pay revised wages to the workers within the amount of contract. However, in case of any other Govt. Levy increased the contract amount will be increased accordingly.</w:t>
      </w:r>
    </w:p>
    <w:p w:rsidR="00EA1D9E" w:rsidRDefault="00EA1D9E" w:rsidP="00EA1D9E">
      <w:pPr>
        <w:numPr>
          <w:ilvl w:val="0"/>
          <w:numId w:val="1"/>
        </w:numPr>
        <w:jc w:val="both"/>
        <w:rPr>
          <w:rFonts w:asciiTheme="majorHAnsi" w:hAnsiTheme="majorHAnsi"/>
          <w:b/>
          <w:bCs/>
          <w:i/>
          <w:iCs/>
          <w:sz w:val="19"/>
          <w:szCs w:val="19"/>
        </w:rPr>
      </w:pPr>
      <w:r>
        <w:rPr>
          <w:rFonts w:asciiTheme="majorHAnsi" w:hAnsiTheme="majorHAnsi"/>
          <w:b/>
          <w:bCs/>
          <w:i/>
          <w:iCs/>
          <w:sz w:val="19"/>
          <w:szCs w:val="19"/>
        </w:rPr>
        <w:t>It is the sole responsibility of contractor to deposit EPF, ESI and Gratuity &amp; any govt. levy’s etc. to the Government authorities revised from time to time.</w:t>
      </w:r>
    </w:p>
    <w:p w:rsidR="00EA1D9E" w:rsidRDefault="00EA1D9E" w:rsidP="00EA1D9E">
      <w:pPr>
        <w:numPr>
          <w:ilvl w:val="0"/>
          <w:numId w:val="1"/>
        </w:numPr>
        <w:jc w:val="both"/>
        <w:rPr>
          <w:rFonts w:asciiTheme="majorHAnsi" w:hAnsiTheme="majorHAnsi"/>
          <w:b/>
          <w:bCs/>
          <w:sz w:val="20"/>
          <w:szCs w:val="20"/>
        </w:rPr>
      </w:pPr>
      <w:r>
        <w:rPr>
          <w:rFonts w:asciiTheme="majorHAnsi" w:hAnsiTheme="majorHAnsi"/>
          <w:sz w:val="20"/>
          <w:szCs w:val="20"/>
        </w:rPr>
        <w:t>In case of non-availability of ESIC Scheme in the region, the same shall be covered under the Workman Compensation Act (WCA) or Group Insurance Scheme by the Contractor.</w:t>
      </w:r>
    </w:p>
    <w:p w:rsidR="00EA1D9E" w:rsidRDefault="00EA1D9E" w:rsidP="00EA1D9E">
      <w:pPr>
        <w:numPr>
          <w:ilvl w:val="0"/>
          <w:numId w:val="1"/>
        </w:numPr>
        <w:jc w:val="both"/>
        <w:rPr>
          <w:rFonts w:asciiTheme="majorHAnsi" w:hAnsiTheme="majorHAnsi"/>
          <w:sz w:val="20"/>
          <w:szCs w:val="20"/>
        </w:rPr>
      </w:pPr>
      <w:r>
        <w:rPr>
          <w:rFonts w:asciiTheme="majorHAnsi" w:hAnsiTheme="majorHAnsi"/>
          <w:sz w:val="20"/>
          <w:szCs w:val="20"/>
        </w:rPr>
        <w:t>The time of completion of the entire work shall be 12 months.</w:t>
      </w:r>
    </w:p>
    <w:p w:rsidR="00EA1D9E" w:rsidRDefault="00EA1D9E" w:rsidP="00EA1D9E">
      <w:pPr>
        <w:rPr>
          <w:rFonts w:asciiTheme="majorHAnsi" w:hAnsiTheme="majorHAnsi"/>
          <w:b/>
          <w:bCs/>
          <w:sz w:val="20"/>
          <w:szCs w:val="20"/>
        </w:rPr>
      </w:pPr>
    </w:p>
    <w:p w:rsidR="006007D2" w:rsidRPr="00EA1D9E" w:rsidRDefault="006007D2" w:rsidP="00EA1D9E">
      <w:pPr>
        <w:rPr>
          <w:szCs w:val="20"/>
        </w:rPr>
      </w:pPr>
    </w:p>
    <w:sectPr w:rsidR="006007D2" w:rsidRPr="00EA1D9E" w:rsidSect="006007D2">
      <w:footerReference w:type="even" r:id="rId12"/>
      <w:footerReference w:type="default" r:id="rId13"/>
      <w:pgSz w:w="12240" w:h="15840"/>
      <w:pgMar w:top="720" w:right="1080" w:bottom="720" w:left="126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2F8" w:rsidRDefault="002412F8" w:rsidP="006007D2">
      <w:pPr>
        <w:spacing w:after="0" w:line="240" w:lineRule="auto"/>
      </w:pPr>
      <w:r>
        <w:separator/>
      </w:r>
    </w:p>
  </w:endnote>
  <w:endnote w:type="continuationSeparator" w:id="1">
    <w:p w:rsidR="002412F8" w:rsidRDefault="002412F8" w:rsidP="006007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605" w:rsidRDefault="00477FF1">
    <w:pPr>
      <w:pStyle w:val="Footer"/>
      <w:framePr w:wrap="around" w:vAnchor="text" w:hAnchor="margin" w:xAlign="center" w:y="1"/>
      <w:rPr>
        <w:rStyle w:val="PageNumber"/>
      </w:rPr>
    </w:pPr>
    <w:r>
      <w:rPr>
        <w:rStyle w:val="PageNumber"/>
      </w:rPr>
      <w:fldChar w:fldCharType="begin"/>
    </w:r>
    <w:r w:rsidR="00F71605">
      <w:rPr>
        <w:rStyle w:val="PageNumber"/>
      </w:rPr>
      <w:instrText xml:space="preserve">PAGE  </w:instrText>
    </w:r>
    <w:r>
      <w:rPr>
        <w:rStyle w:val="PageNumber"/>
      </w:rPr>
      <w:fldChar w:fldCharType="end"/>
    </w:r>
  </w:p>
  <w:p w:rsidR="00F71605" w:rsidRDefault="00F716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21033"/>
    </w:sdtPr>
    <w:sdtContent>
      <w:p w:rsidR="00F71605" w:rsidRDefault="00F71605">
        <w:pPr>
          <w:pStyle w:val="Footer"/>
        </w:pPr>
        <w:r>
          <w:rPr>
            <w:b/>
            <w:bCs/>
          </w:rPr>
          <w:t>Contractor                                                                                                 Eng.-In-Charge</w:t>
        </w:r>
      </w:p>
      <w:p w:rsidR="00F71605" w:rsidRDefault="00477FF1">
        <w:pPr>
          <w:pStyle w:val="Footer"/>
          <w:jc w:val="center"/>
        </w:pPr>
        <w:fldSimple w:instr=" PAGE   \* MERGEFORMAT ">
          <w:r w:rsidR="005C61D8">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2F8" w:rsidRDefault="002412F8" w:rsidP="006007D2">
      <w:pPr>
        <w:spacing w:after="0" w:line="240" w:lineRule="auto"/>
      </w:pPr>
      <w:r>
        <w:separator/>
      </w:r>
    </w:p>
  </w:footnote>
  <w:footnote w:type="continuationSeparator" w:id="1">
    <w:p w:rsidR="002412F8" w:rsidRDefault="002412F8" w:rsidP="006007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131CE"/>
    <w:multiLevelType w:val="multilevel"/>
    <w:tmpl w:val="08B131CE"/>
    <w:lvl w:ilvl="0">
      <w:start w:val="1"/>
      <w:numFmt w:val="decimal"/>
      <w:lvlText w:val="%1."/>
      <w:lvlJc w:val="left"/>
      <w:pPr>
        <w:tabs>
          <w:tab w:val="left" w:pos="360"/>
        </w:tabs>
        <w:ind w:left="360" w:hanging="360"/>
      </w:pPr>
      <w:rPr>
        <w:b w:val="0"/>
      </w:rPr>
    </w:lvl>
    <w:lvl w:ilvl="1" w:tentative="1">
      <w:start w:val="1"/>
      <w:numFmt w:val="lowerLetter"/>
      <w:lvlText w:val="%2."/>
      <w:lvlJc w:val="left"/>
      <w:pPr>
        <w:tabs>
          <w:tab w:val="left" w:pos="1080"/>
        </w:tabs>
        <w:ind w:left="1080" w:hanging="360"/>
      </w:pPr>
    </w:lvl>
    <w:lvl w:ilvl="2" w:tentative="1">
      <w:start w:val="1"/>
      <w:numFmt w:val="lowerRoman"/>
      <w:lvlText w:val="%3."/>
      <w:lvlJc w:val="right"/>
      <w:pPr>
        <w:tabs>
          <w:tab w:val="left" w:pos="1800"/>
        </w:tabs>
        <w:ind w:left="1800" w:hanging="180"/>
      </w:pPr>
    </w:lvl>
    <w:lvl w:ilvl="3" w:tentative="1">
      <w:start w:val="1"/>
      <w:numFmt w:val="decimal"/>
      <w:lvlText w:val="%4."/>
      <w:lvlJc w:val="left"/>
      <w:pPr>
        <w:tabs>
          <w:tab w:val="left" w:pos="2520"/>
        </w:tabs>
        <w:ind w:left="2520" w:hanging="360"/>
      </w:pPr>
    </w:lvl>
    <w:lvl w:ilvl="4" w:tentative="1">
      <w:start w:val="1"/>
      <w:numFmt w:val="lowerLetter"/>
      <w:lvlText w:val="%5."/>
      <w:lvlJc w:val="left"/>
      <w:pPr>
        <w:tabs>
          <w:tab w:val="left" w:pos="3240"/>
        </w:tabs>
        <w:ind w:left="3240" w:hanging="360"/>
      </w:pPr>
    </w:lvl>
    <w:lvl w:ilvl="5" w:tentative="1">
      <w:start w:val="1"/>
      <w:numFmt w:val="lowerRoman"/>
      <w:lvlText w:val="%6."/>
      <w:lvlJc w:val="right"/>
      <w:pPr>
        <w:tabs>
          <w:tab w:val="left" w:pos="3960"/>
        </w:tabs>
        <w:ind w:left="3960" w:hanging="180"/>
      </w:pPr>
    </w:lvl>
    <w:lvl w:ilvl="6" w:tentative="1">
      <w:start w:val="1"/>
      <w:numFmt w:val="decimal"/>
      <w:lvlText w:val="%7."/>
      <w:lvlJc w:val="left"/>
      <w:pPr>
        <w:tabs>
          <w:tab w:val="left" w:pos="4680"/>
        </w:tabs>
        <w:ind w:left="4680" w:hanging="360"/>
      </w:pPr>
    </w:lvl>
    <w:lvl w:ilvl="7" w:tentative="1">
      <w:start w:val="1"/>
      <w:numFmt w:val="lowerLetter"/>
      <w:lvlText w:val="%8."/>
      <w:lvlJc w:val="left"/>
      <w:pPr>
        <w:tabs>
          <w:tab w:val="left" w:pos="5400"/>
        </w:tabs>
        <w:ind w:left="5400" w:hanging="360"/>
      </w:pPr>
    </w:lvl>
    <w:lvl w:ilvl="8" w:tentative="1">
      <w:start w:val="1"/>
      <w:numFmt w:val="lowerRoman"/>
      <w:lvlText w:val="%9."/>
      <w:lvlJc w:val="right"/>
      <w:pPr>
        <w:tabs>
          <w:tab w:val="left" w:pos="6120"/>
        </w:tabs>
        <w:ind w:left="6120" w:hanging="180"/>
      </w:pPr>
    </w:lvl>
  </w:abstractNum>
  <w:abstractNum w:abstractNumId="1">
    <w:nsid w:val="57A036C1"/>
    <w:multiLevelType w:val="multilevel"/>
    <w:tmpl w:val="57A036C1"/>
    <w:lvl w:ilvl="0" w:tentative="1">
      <w:start w:val="1"/>
      <w:numFmt w:val="decimal"/>
      <w:lvlText w:val="%1."/>
      <w:lvlJc w:val="left"/>
      <w:pPr>
        <w:tabs>
          <w:tab w:val="left" w:pos="1080"/>
        </w:tabs>
        <w:ind w:left="1080" w:hanging="720"/>
      </w:pPr>
      <w:rPr>
        <w:b/>
        <w:bCs/>
      </w:r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nsid w:val="6A2A2512"/>
    <w:multiLevelType w:val="multilevel"/>
    <w:tmpl w:val="6A2A2512"/>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3">
    <w:nsid w:val="762A682A"/>
    <w:multiLevelType w:val="multilevel"/>
    <w:tmpl w:val="762A682A"/>
    <w:lvl w:ilvl="0">
      <w:start w:val="1"/>
      <w:numFmt w:val="decimal"/>
      <w:lvlText w:val="%1."/>
      <w:lvlJc w:val="left"/>
      <w:pPr>
        <w:tabs>
          <w:tab w:val="left" w:pos="1080"/>
        </w:tabs>
        <w:ind w:left="1080" w:hanging="720"/>
      </w:pPr>
      <w:rPr>
        <w:b/>
        <w:bCs/>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4">
    <w:nsid w:val="799A60DA"/>
    <w:multiLevelType w:val="multilevel"/>
    <w:tmpl w:val="799A60DA"/>
    <w:lvl w:ilvl="0">
      <w:start w:val="1"/>
      <w:numFmt w:val="decimal"/>
      <w:lvlText w:val="%1."/>
      <w:lvlJc w:val="left"/>
      <w:pPr>
        <w:tabs>
          <w:tab w:val="left" w:pos="1440"/>
        </w:tabs>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lvlOverride w:ilvl="0"/>
    <w:lvlOverride w:ilvl="1">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BB6C88"/>
    <w:rsid w:val="0001174B"/>
    <w:rsid w:val="000123D1"/>
    <w:rsid w:val="0002029E"/>
    <w:rsid w:val="00021130"/>
    <w:rsid w:val="0002247B"/>
    <w:rsid w:val="00023F7B"/>
    <w:rsid w:val="00025346"/>
    <w:rsid w:val="000266C8"/>
    <w:rsid w:val="000331D2"/>
    <w:rsid w:val="0003742B"/>
    <w:rsid w:val="00051EB7"/>
    <w:rsid w:val="000636E3"/>
    <w:rsid w:val="00063B20"/>
    <w:rsid w:val="00064991"/>
    <w:rsid w:val="00067221"/>
    <w:rsid w:val="00070D70"/>
    <w:rsid w:val="0008338A"/>
    <w:rsid w:val="000A0A4F"/>
    <w:rsid w:val="000A2576"/>
    <w:rsid w:val="000A4E1D"/>
    <w:rsid w:val="000A5B5B"/>
    <w:rsid w:val="000A6E23"/>
    <w:rsid w:val="000B7A72"/>
    <w:rsid w:val="000C777C"/>
    <w:rsid w:val="000D06FB"/>
    <w:rsid w:val="000D1535"/>
    <w:rsid w:val="000E032F"/>
    <w:rsid w:val="000E0F3F"/>
    <w:rsid w:val="000E2820"/>
    <w:rsid w:val="000E46B3"/>
    <w:rsid w:val="000F5C12"/>
    <w:rsid w:val="000F7B06"/>
    <w:rsid w:val="0010405B"/>
    <w:rsid w:val="001111DA"/>
    <w:rsid w:val="00113109"/>
    <w:rsid w:val="00115439"/>
    <w:rsid w:val="0012054E"/>
    <w:rsid w:val="00120AF5"/>
    <w:rsid w:val="00122D5A"/>
    <w:rsid w:val="00124584"/>
    <w:rsid w:val="001258DF"/>
    <w:rsid w:val="00135583"/>
    <w:rsid w:val="00135799"/>
    <w:rsid w:val="00136932"/>
    <w:rsid w:val="00140424"/>
    <w:rsid w:val="0014471C"/>
    <w:rsid w:val="001475BC"/>
    <w:rsid w:val="001476D0"/>
    <w:rsid w:val="00150BBC"/>
    <w:rsid w:val="00151590"/>
    <w:rsid w:val="00152EE2"/>
    <w:rsid w:val="00170A18"/>
    <w:rsid w:val="00171B0F"/>
    <w:rsid w:val="00175563"/>
    <w:rsid w:val="00176A46"/>
    <w:rsid w:val="00182A08"/>
    <w:rsid w:val="00193D80"/>
    <w:rsid w:val="001979BF"/>
    <w:rsid w:val="001B0CE9"/>
    <w:rsid w:val="001B392B"/>
    <w:rsid w:val="001B7233"/>
    <w:rsid w:val="001C4F2B"/>
    <w:rsid w:val="001D46EB"/>
    <w:rsid w:val="001E1335"/>
    <w:rsid w:val="001E253E"/>
    <w:rsid w:val="001F12A3"/>
    <w:rsid w:val="001F4A03"/>
    <w:rsid w:val="001F4EF1"/>
    <w:rsid w:val="001F79E3"/>
    <w:rsid w:val="002003F5"/>
    <w:rsid w:val="00201F81"/>
    <w:rsid w:val="002112D1"/>
    <w:rsid w:val="002129F4"/>
    <w:rsid w:val="00227305"/>
    <w:rsid w:val="0023060F"/>
    <w:rsid w:val="0023411C"/>
    <w:rsid w:val="002412F8"/>
    <w:rsid w:val="00246C0A"/>
    <w:rsid w:val="00246E3C"/>
    <w:rsid w:val="0024757A"/>
    <w:rsid w:val="002513AF"/>
    <w:rsid w:val="00251E52"/>
    <w:rsid w:val="00252B19"/>
    <w:rsid w:val="0026383D"/>
    <w:rsid w:val="00270394"/>
    <w:rsid w:val="00291F1F"/>
    <w:rsid w:val="00291FCA"/>
    <w:rsid w:val="002A3B9C"/>
    <w:rsid w:val="002B4467"/>
    <w:rsid w:val="002B48E4"/>
    <w:rsid w:val="002B57EB"/>
    <w:rsid w:val="002C398F"/>
    <w:rsid w:val="002C3BE4"/>
    <w:rsid w:val="002C4EAE"/>
    <w:rsid w:val="002C5A56"/>
    <w:rsid w:val="002C79B1"/>
    <w:rsid w:val="002F5AB2"/>
    <w:rsid w:val="00300E63"/>
    <w:rsid w:val="00303C61"/>
    <w:rsid w:val="00305EF9"/>
    <w:rsid w:val="003120CF"/>
    <w:rsid w:val="00321A2E"/>
    <w:rsid w:val="00332F99"/>
    <w:rsid w:val="00333D23"/>
    <w:rsid w:val="003379DE"/>
    <w:rsid w:val="00341B42"/>
    <w:rsid w:val="0036021B"/>
    <w:rsid w:val="00362350"/>
    <w:rsid w:val="00363C52"/>
    <w:rsid w:val="003740C3"/>
    <w:rsid w:val="00375B93"/>
    <w:rsid w:val="003825CC"/>
    <w:rsid w:val="00383193"/>
    <w:rsid w:val="00384709"/>
    <w:rsid w:val="00394517"/>
    <w:rsid w:val="00394AD2"/>
    <w:rsid w:val="003A00E7"/>
    <w:rsid w:val="003A418C"/>
    <w:rsid w:val="003A47DB"/>
    <w:rsid w:val="003B356A"/>
    <w:rsid w:val="003C0707"/>
    <w:rsid w:val="003C1693"/>
    <w:rsid w:val="003C3FB5"/>
    <w:rsid w:val="003D03E9"/>
    <w:rsid w:val="003D26B0"/>
    <w:rsid w:val="003D351C"/>
    <w:rsid w:val="003E0C81"/>
    <w:rsid w:val="003E252B"/>
    <w:rsid w:val="003E2589"/>
    <w:rsid w:val="003E5C28"/>
    <w:rsid w:val="003F2698"/>
    <w:rsid w:val="003F5071"/>
    <w:rsid w:val="003F5FBA"/>
    <w:rsid w:val="003F607D"/>
    <w:rsid w:val="00401F4C"/>
    <w:rsid w:val="00406B5E"/>
    <w:rsid w:val="004103A9"/>
    <w:rsid w:val="0041484C"/>
    <w:rsid w:val="004248DC"/>
    <w:rsid w:val="0042769F"/>
    <w:rsid w:val="00427A13"/>
    <w:rsid w:val="00427DAB"/>
    <w:rsid w:val="0044486F"/>
    <w:rsid w:val="00447E19"/>
    <w:rsid w:val="00450CDA"/>
    <w:rsid w:val="00455566"/>
    <w:rsid w:val="00463026"/>
    <w:rsid w:val="00472974"/>
    <w:rsid w:val="0047500A"/>
    <w:rsid w:val="00475C08"/>
    <w:rsid w:val="0047643E"/>
    <w:rsid w:val="00476A97"/>
    <w:rsid w:val="0047786A"/>
    <w:rsid w:val="00477FF1"/>
    <w:rsid w:val="004878DA"/>
    <w:rsid w:val="00493EAA"/>
    <w:rsid w:val="004B02EA"/>
    <w:rsid w:val="004B04C0"/>
    <w:rsid w:val="004B6525"/>
    <w:rsid w:val="004C2B0A"/>
    <w:rsid w:val="004C34E8"/>
    <w:rsid w:val="004C431C"/>
    <w:rsid w:val="004C5534"/>
    <w:rsid w:val="004D1E2E"/>
    <w:rsid w:val="004D314C"/>
    <w:rsid w:val="004D59A2"/>
    <w:rsid w:val="004E1B6F"/>
    <w:rsid w:val="004E37A7"/>
    <w:rsid w:val="004E5101"/>
    <w:rsid w:val="004F14FD"/>
    <w:rsid w:val="004F1CE9"/>
    <w:rsid w:val="004F3292"/>
    <w:rsid w:val="005009F2"/>
    <w:rsid w:val="005037CE"/>
    <w:rsid w:val="00505C19"/>
    <w:rsid w:val="00507134"/>
    <w:rsid w:val="005161C4"/>
    <w:rsid w:val="0052415F"/>
    <w:rsid w:val="00526A54"/>
    <w:rsid w:val="00532749"/>
    <w:rsid w:val="00534A6A"/>
    <w:rsid w:val="00544402"/>
    <w:rsid w:val="00546EAF"/>
    <w:rsid w:val="0056267B"/>
    <w:rsid w:val="00574D80"/>
    <w:rsid w:val="00577D3D"/>
    <w:rsid w:val="00580DA5"/>
    <w:rsid w:val="005916B0"/>
    <w:rsid w:val="00593482"/>
    <w:rsid w:val="00595CBC"/>
    <w:rsid w:val="00596E6C"/>
    <w:rsid w:val="005A2765"/>
    <w:rsid w:val="005A2809"/>
    <w:rsid w:val="005A4F59"/>
    <w:rsid w:val="005B0C93"/>
    <w:rsid w:val="005B314B"/>
    <w:rsid w:val="005B4ACC"/>
    <w:rsid w:val="005B773F"/>
    <w:rsid w:val="005C07B1"/>
    <w:rsid w:val="005C5787"/>
    <w:rsid w:val="005C61D8"/>
    <w:rsid w:val="005E0792"/>
    <w:rsid w:val="005E28B0"/>
    <w:rsid w:val="005E7329"/>
    <w:rsid w:val="005F0D75"/>
    <w:rsid w:val="005F47CB"/>
    <w:rsid w:val="005F4AA3"/>
    <w:rsid w:val="005F557B"/>
    <w:rsid w:val="006007D2"/>
    <w:rsid w:val="00604818"/>
    <w:rsid w:val="00604A6E"/>
    <w:rsid w:val="006131F0"/>
    <w:rsid w:val="006268EE"/>
    <w:rsid w:val="00626FA6"/>
    <w:rsid w:val="00627F27"/>
    <w:rsid w:val="00634842"/>
    <w:rsid w:val="00636790"/>
    <w:rsid w:val="0063752F"/>
    <w:rsid w:val="00642FFA"/>
    <w:rsid w:val="00644E75"/>
    <w:rsid w:val="00651040"/>
    <w:rsid w:val="00651E67"/>
    <w:rsid w:val="00654604"/>
    <w:rsid w:val="00654950"/>
    <w:rsid w:val="00666D5F"/>
    <w:rsid w:val="006724E7"/>
    <w:rsid w:val="00675713"/>
    <w:rsid w:val="00686DC9"/>
    <w:rsid w:val="006A26B4"/>
    <w:rsid w:val="006A5411"/>
    <w:rsid w:val="006B472E"/>
    <w:rsid w:val="006B7CD0"/>
    <w:rsid w:val="006B7E1C"/>
    <w:rsid w:val="006C1972"/>
    <w:rsid w:val="006C68B5"/>
    <w:rsid w:val="006C7150"/>
    <w:rsid w:val="006D0106"/>
    <w:rsid w:val="006D4896"/>
    <w:rsid w:val="006D7A7D"/>
    <w:rsid w:val="006E0031"/>
    <w:rsid w:val="006E7545"/>
    <w:rsid w:val="006F4555"/>
    <w:rsid w:val="006F4670"/>
    <w:rsid w:val="006F5E76"/>
    <w:rsid w:val="00700D83"/>
    <w:rsid w:val="00702128"/>
    <w:rsid w:val="0070385B"/>
    <w:rsid w:val="00705545"/>
    <w:rsid w:val="00716D43"/>
    <w:rsid w:val="007172BC"/>
    <w:rsid w:val="00721D34"/>
    <w:rsid w:val="00730005"/>
    <w:rsid w:val="0074076D"/>
    <w:rsid w:val="00741452"/>
    <w:rsid w:val="00744548"/>
    <w:rsid w:val="00745B03"/>
    <w:rsid w:val="00745B6A"/>
    <w:rsid w:val="00754C5B"/>
    <w:rsid w:val="0075698A"/>
    <w:rsid w:val="007605E3"/>
    <w:rsid w:val="007647BA"/>
    <w:rsid w:val="0076572C"/>
    <w:rsid w:val="0077474E"/>
    <w:rsid w:val="00777560"/>
    <w:rsid w:val="00781EF2"/>
    <w:rsid w:val="007825B0"/>
    <w:rsid w:val="0079391D"/>
    <w:rsid w:val="00794806"/>
    <w:rsid w:val="007A1391"/>
    <w:rsid w:val="007A1A56"/>
    <w:rsid w:val="007A6B97"/>
    <w:rsid w:val="007B7004"/>
    <w:rsid w:val="007C0F7D"/>
    <w:rsid w:val="007C5E1A"/>
    <w:rsid w:val="007D3525"/>
    <w:rsid w:val="007D3788"/>
    <w:rsid w:val="007D557E"/>
    <w:rsid w:val="007E66CA"/>
    <w:rsid w:val="008003DA"/>
    <w:rsid w:val="008014AC"/>
    <w:rsid w:val="00801A27"/>
    <w:rsid w:val="0080568A"/>
    <w:rsid w:val="008057C3"/>
    <w:rsid w:val="00806182"/>
    <w:rsid w:val="008078C4"/>
    <w:rsid w:val="008110D6"/>
    <w:rsid w:val="00813195"/>
    <w:rsid w:val="008360F5"/>
    <w:rsid w:val="008562D2"/>
    <w:rsid w:val="00863F8C"/>
    <w:rsid w:val="008659E3"/>
    <w:rsid w:val="00867FF3"/>
    <w:rsid w:val="00893D3E"/>
    <w:rsid w:val="00896D17"/>
    <w:rsid w:val="008A2D1A"/>
    <w:rsid w:val="008A2E00"/>
    <w:rsid w:val="008A48B3"/>
    <w:rsid w:val="008B4063"/>
    <w:rsid w:val="008B544E"/>
    <w:rsid w:val="008B56DA"/>
    <w:rsid w:val="008C6B1C"/>
    <w:rsid w:val="008D2919"/>
    <w:rsid w:val="008E105D"/>
    <w:rsid w:val="008E1959"/>
    <w:rsid w:val="008E4C1F"/>
    <w:rsid w:val="008E5362"/>
    <w:rsid w:val="008F5F45"/>
    <w:rsid w:val="009200F7"/>
    <w:rsid w:val="00925893"/>
    <w:rsid w:val="009265F7"/>
    <w:rsid w:val="00931ECA"/>
    <w:rsid w:val="0093698D"/>
    <w:rsid w:val="00940745"/>
    <w:rsid w:val="00944798"/>
    <w:rsid w:val="0095274F"/>
    <w:rsid w:val="00954287"/>
    <w:rsid w:val="009566FC"/>
    <w:rsid w:val="009604B6"/>
    <w:rsid w:val="00960F49"/>
    <w:rsid w:val="00967E73"/>
    <w:rsid w:val="00974F6E"/>
    <w:rsid w:val="00976497"/>
    <w:rsid w:val="0098270C"/>
    <w:rsid w:val="00993DFC"/>
    <w:rsid w:val="00994589"/>
    <w:rsid w:val="009A1E54"/>
    <w:rsid w:val="009C0D44"/>
    <w:rsid w:val="009C65EA"/>
    <w:rsid w:val="009D0707"/>
    <w:rsid w:val="009D587F"/>
    <w:rsid w:val="009D77FE"/>
    <w:rsid w:val="009D7E9D"/>
    <w:rsid w:val="009E0F11"/>
    <w:rsid w:val="009E3A5E"/>
    <w:rsid w:val="009F3083"/>
    <w:rsid w:val="009F5627"/>
    <w:rsid w:val="00A07477"/>
    <w:rsid w:val="00A113AE"/>
    <w:rsid w:val="00A14C5C"/>
    <w:rsid w:val="00A167EB"/>
    <w:rsid w:val="00A21C12"/>
    <w:rsid w:val="00A24948"/>
    <w:rsid w:val="00A25413"/>
    <w:rsid w:val="00A259C5"/>
    <w:rsid w:val="00A27852"/>
    <w:rsid w:val="00A325F7"/>
    <w:rsid w:val="00A401CE"/>
    <w:rsid w:val="00A410CD"/>
    <w:rsid w:val="00A425E6"/>
    <w:rsid w:val="00A439B3"/>
    <w:rsid w:val="00A4559A"/>
    <w:rsid w:val="00A516FB"/>
    <w:rsid w:val="00A531CD"/>
    <w:rsid w:val="00A55F04"/>
    <w:rsid w:val="00A57FDA"/>
    <w:rsid w:val="00A65732"/>
    <w:rsid w:val="00A65B45"/>
    <w:rsid w:val="00A7146C"/>
    <w:rsid w:val="00A76162"/>
    <w:rsid w:val="00A8481A"/>
    <w:rsid w:val="00A902D1"/>
    <w:rsid w:val="00A936C1"/>
    <w:rsid w:val="00A967D1"/>
    <w:rsid w:val="00AA26CC"/>
    <w:rsid w:val="00AA2FAC"/>
    <w:rsid w:val="00AC0489"/>
    <w:rsid w:val="00AC1BA7"/>
    <w:rsid w:val="00AC54D9"/>
    <w:rsid w:val="00AD1711"/>
    <w:rsid w:val="00AD3ADE"/>
    <w:rsid w:val="00AE2884"/>
    <w:rsid w:val="00AF1635"/>
    <w:rsid w:val="00AF2316"/>
    <w:rsid w:val="00AF616F"/>
    <w:rsid w:val="00B028B0"/>
    <w:rsid w:val="00B02BA5"/>
    <w:rsid w:val="00B02D1A"/>
    <w:rsid w:val="00B10796"/>
    <w:rsid w:val="00B15134"/>
    <w:rsid w:val="00B17C36"/>
    <w:rsid w:val="00B20745"/>
    <w:rsid w:val="00B20CD4"/>
    <w:rsid w:val="00B23C6F"/>
    <w:rsid w:val="00B26B9E"/>
    <w:rsid w:val="00B37468"/>
    <w:rsid w:val="00B40D32"/>
    <w:rsid w:val="00B431F9"/>
    <w:rsid w:val="00B44EFA"/>
    <w:rsid w:val="00B45D21"/>
    <w:rsid w:val="00B520A7"/>
    <w:rsid w:val="00B528DD"/>
    <w:rsid w:val="00B55FA5"/>
    <w:rsid w:val="00B65885"/>
    <w:rsid w:val="00B660D6"/>
    <w:rsid w:val="00B678C8"/>
    <w:rsid w:val="00B739FF"/>
    <w:rsid w:val="00B74A6A"/>
    <w:rsid w:val="00B74A9A"/>
    <w:rsid w:val="00B8070D"/>
    <w:rsid w:val="00B84869"/>
    <w:rsid w:val="00B87141"/>
    <w:rsid w:val="00B90B3C"/>
    <w:rsid w:val="00BA0078"/>
    <w:rsid w:val="00BB5556"/>
    <w:rsid w:val="00BB6C88"/>
    <w:rsid w:val="00BB7473"/>
    <w:rsid w:val="00BB76FB"/>
    <w:rsid w:val="00BC64DC"/>
    <w:rsid w:val="00BD419F"/>
    <w:rsid w:val="00BD6B16"/>
    <w:rsid w:val="00BE013D"/>
    <w:rsid w:val="00BE1DEA"/>
    <w:rsid w:val="00BE39B5"/>
    <w:rsid w:val="00BF24CC"/>
    <w:rsid w:val="00BF42B5"/>
    <w:rsid w:val="00BF49FF"/>
    <w:rsid w:val="00BF6C42"/>
    <w:rsid w:val="00C0743E"/>
    <w:rsid w:val="00C101DB"/>
    <w:rsid w:val="00C10B0E"/>
    <w:rsid w:val="00C17375"/>
    <w:rsid w:val="00C2344F"/>
    <w:rsid w:val="00C24486"/>
    <w:rsid w:val="00C277CB"/>
    <w:rsid w:val="00C31101"/>
    <w:rsid w:val="00C33729"/>
    <w:rsid w:val="00C36A9C"/>
    <w:rsid w:val="00C412A7"/>
    <w:rsid w:val="00C42AEA"/>
    <w:rsid w:val="00C443AC"/>
    <w:rsid w:val="00C453BD"/>
    <w:rsid w:val="00C51159"/>
    <w:rsid w:val="00C55265"/>
    <w:rsid w:val="00C66346"/>
    <w:rsid w:val="00C71562"/>
    <w:rsid w:val="00C71DEB"/>
    <w:rsid w:val="00C83248"/>
    <w:rsid w:val="00CA0F61"/>
    <w:rsid w:val="00CA6C72"/>
    <w:rsid w:val="00CA78A1"/>
    <w:rsid w:val="00CB18AE"/>
    <w:rsid w:val="00CB5E17"/>
    <w:rsid w:val="00CB78BC"/>
    <w:rsid w:val="00CC3546"/>
    <w:rsid w:val="00CC673A"/>
    <w:rsid w:val="00CC75D7"/>
    <w:rsid w:val="00CC7D0C"/>
    <w:rsid w:val="00CD143C"/>
    <w:rsid w:val="00CD1504"/>
    <w:rsid w:val="00CD3B50"/>
    <w:rsid w:val="00CD488B"/>
    <w:rsid w:val="00CF0E71"/>
    <w:rsid w:val="00CF3591"/>
    <w:rsid w:val="00D00EC0"/>
    <w:rsid w:val="00D0197D"/>
    <w:rsid w:val="00D023A8"/>
    <w:rsid w:val="00D024B0"/>
    <w:rsid w:val="00D0311B"/>
    <w:rsid w:val="00D04D8B"/>
    <w:rsid w:val="00D06ECD"/>
    <w:rsid w:val="00D12159"/>
    <w:rsid w:val="00D12D75"/>
    <w:rsid w:val="00D140C5"/>
    <w:rsid w:val="00D16DBE"/>
    <w:rsid w:val="00D31CBC"/>
    <w:rsid w:val="00D33F9B"/>
    <w:rsid w:val="00D35E44"/>
    <w:rsid w:val="00D366E0"/>
    <w:rsid w:val="00D4108D"/>
    <w:rsid w:val="00D41437"/>
    <w:rsid w:val="00D420D9"/>
    <w:rsid w:val="00D53A3B"/>
    <w:rsid w:val="00D54756"/>
    <w:rsid w:val="00D548B2"/>
    <w:rsid w:val="00D54912"/>
    <w:rsid w:val="00D708EE"/>
    <w:rsid w:val="00D769DD"/>
    <w:rsid w:val="00D76FC1"/>
    <w:rsid w:val="00D81815"/>
    <w:rsid w:val="00D91DE9"/>
    <w:rsid w:val="00DB311B"/>
    <w:rsid w:val="00DB7BF0"/>
    <w:rsid w:val="00DC19F5"/>
    <w:rsid w:val="00DC4D30"/>
    <w:rsid w:val="00DD70EC"/>
    <w:rsid w:val="00DD7E9D"/>
    <w:rsid w:val="00DE2696"/>
    <w:rsid w:val="00DE27F2"/>
    <w:rsid w:val="00DE2C5B"/>
    <w:rsid w:val="00DE36F9"/>
    <w:rsid w:val="00DE6F3C"/>
    <w:rsid w:val="00DF4F76"/>
    <w:rsid w:val="00DF7EBA"/>
    <w:rsid w:val="00E03362"/>
    <w:rsid w:val="00E03D56"/>
    <w:rsid w:val="00E06C22"/>
    <w:rsid w:val="00E16608"/>
    <w:rsid w:val="00E20824"/>
    <w:rsid w:val="00E27CAE"/>
    <w:rsid w:val="00E34BF8"/>
    <w:rsid w:val="00E37C07"/>
    <w:rsid w:val="00E46177"/>
    <w:rsid w:val="00E53B5D"/>
    <w:rsid w:val="00E5610D"/>
    <w:rsid w:val="00E63D8F"/>
    <w:rsid w:val="00E65C56"/>
    <w:rsid w:val="00E6644D"/>
    <w:rsid w:val="00E7531D"/>
    <w:rsid w:val="00E80760"/>
    <w:rsid w:val="00E80FE6"/>
    <w:rsid w:val="00E94E98"/>
    <w:rsid w:val="00E96CC4"/>
    <w:rsid w:val="00EA1D9E"/>
    <w:rsid w:val="00EA4E56"/>
    <w:rsid w:val="00EA7AD4"/>
    <w:rsid w:val="00EB5022"/>
    <w:rsid w:val="00EB69EE"/>
    <w:rsid w:val="00EC307E"/>
    <w:rsid w:val="00EC4509"/>
    <w:rsid w:val="00EC5818"/>
    <w:rsid w:val="00EC5A7B"/>
    <w:rsid w:val="00ED57D7"/>
    <w:rsid w:val="00ED6BDD"/>
    <w:rsid w:val="00ED7730"/>
    <w:rsid w:val="00EE2E6E"/>
    <w:rsid w:val="00EE3250"/>
    <w:rsid w:val="00EE3D6B"/>
    <w:rsid w:val="00EE61F5"/>
    <w:rsid w:val="00EE6FDC"/>
    <w:rsid w:val="00EF2818"/>
    <w:rsid w:val="00EF305C"/>
    <w:rsid w:val="00EF54C3"/>
    <w:rsid w:val="00F05CFD"/>
    <w:rsid w:val="00F06332"/>
    <w:rsid w:val="00F10C9C"/>
    <w:rsid w:val="00F125E7"/>
    <w:rsid w:val="00F128B9"/>
    <w:rsid w:val="00F2217A"/>
    <w:rsid w:val="00F25250"/>
    <w:rsid w:val="00F26B8E"/>
    <w:rsid w:val="00F307C9"/>
    <w:rsid w:val="00F332C4"/>
    <w:rsid w:val="00F523AD"/>
    <w:rsid w:val="00F56D86"/>
    <w:rsid w:val="00F6008C"/>
    <w:rsid w:val="00F6640B"/>
    <w:rsid w:val="00F714B2"/>
    <w:rsid w:val="00F71605"/>
    <w:rsid w:val="00F7269D"/>
    <w:rsid w:val="00F77EF8"/>
    <w:rsid w:val="00F844FA"/>
    <w:rsid w:val="00F846E8"/>
    <w:rsid w:val="00F875EB"/>
    <w:rsid w:val="00F93D14"/>
    <w:rsid w:val="00F93E72"/>
    <w:rsid w:val="00F95E37"/>
    <w:rsid w:val="00F97568"/>
    <w:rsid w:val="00FA20F7"/>
    <w:rsid w:val="00FA3D0A"/>
    <w:rsid w:val="00FA4F7B"/>
    <w:rsid w:val="00FA549B"/>
    <w:rsid w:val="00FB61CB"/>
    <w:rsid w:val="00FC026B"/>
    <w:rsid w:val="00FC061B"/>
    <w:rsid w:val="00FC10F8"/>
    <w:rsid w:val="00FC58F6"/>
    <w:rsid w:val="00FE2FB4"/>
    <w:rsid w:val="00FE4046"/>
    <w:rsid w:val="00FE50F8"/>
    <w:rsid w:val="00FF18FF"/>
    <w:rsid w:val="00FF259C"/>
    <w:rsid w:val="24E80A5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7D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sid w:val="006007D2"/>
    <w:rPr>
      <w:rFonts w:ascii="Tahoma" w:hAnsi="Tahoma" w:cs="Tahoma"/>
      <w:sz w:val="16"/>
      <w:szCs w:val="16"/>
    </w:rPr>
  </w:style>
  <w:style w:type="paragraph" w:styleId="BodyText">
    <w:name w:val="Body Text"/>
    <w:basedOn w:val="Normal"/>
    <w:link w:val="BodyTextChar"/>
    <w:qFormat/>
    <w:rsid w:val="006007D2"/>
    <w:pPr>
      <w:spacing w:after="120"/>
    </w:pPr>
  </w:style>
  <w:style w:type="paragraph" w:styleId="BodyTextIndent3">
    <w:name w:val="Body Text Indent 3"/>
    <w:basedOn w:val="Normal"/>
    <w:link w:val="BodyTextIndent3Char"/>
    <w:rsid w:val="006007D2"/>
    <w:pPr>
      <w:ind w:left="720"/>
      <w:jc w:val="both"/>
    </w:pPr>
    <w:rPr>
      <w:spacing w:val="20"/>
      <w:sz w:val="20"/>
      <w:szCs w:val="20"/>
    </w:rPr>
  </w:style>
  <w:style w:type="paragraph" w:styleId="Footer">
    <w:name w:val="footer"/>
    <w:basedOn w:val="Normal"/>
    <w:link w:val="FooterChar"/>
    <w:qFormat/>
    <w:rsid w:val="006007D2"/>
    <w:pPr>
      <w:tabs>
        <w:tab w:val="center" w:pos="4320"/>
        <w:tab w:val="right" w:pos="8640"/>
      </w:tabs>
    </w:pPr>
  </w:style>
  <w:style w:type="paragraph" w:styleId="Header">
    <w:name w:val="header"/>
    <w:basedOn w:val="Normal"/>
    <w:link w:val="HeaderChar"/>
    <w:qFormat/>
    <w:rsid w:val="006007D2"/>
    <w:pPr>
      <w:tabs>
        <w:tab w:val="center" w:pos="4320"/>
        <w:tab w:val="right" w:pos="8640"/>
      </w:tabs>
    </w:pPr>
  </w:style>
  <w:style w:type="character" w:styleId="Hyperlink">
    <w:name w:val="Hyperlink"/>
    <w:basedOn w:val="DefaultParagraphFont"/>
    <w:rsid w:val="006007D2"/>
    <w:rPr>
      <w:color w:val="0000FF"/>
      <w:u w:val="single"/>
    </w:rPr>
  </w:style>
  <w:style w:type="character" w:styleId="PageNumber">
    <w:name w:val="page number"/>
    <w:basedOn w:val="DefaultParagraphFont"/>
    <w:qFormat/>
    <w:rsid w:val="006007D2"/>
  </w:style>
  <w:style w:type="table" w:styleId="TableGrid">
    <w:name w:val="Table Grid"/>
    <w:basedOn w:val="TableNormal"/>
    <w:qFormat/>
    <w:rsid w:val="006007D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basedOn w:val="Normal"/>
    <w:rsid w:val="006007D2"/>
    <w:pPr>
      <w:spacing w:before="100" w:beforeAutospacing="1" w:after="100" w:afterAutospacing="1"/>
      <w:jc w:val="both"/>
    </w:pPr>
    <w:rPr>
      <w:rFonts w:ascii="Verdana" w:hAnsi="Verdana"/>
      <w:color w:val="000000"/>
      <w:sz w:val="16"/>
      <w:szCs w:val="16"/>
    </w:rPr>
  </w:style>
  <w:style w:type="paragraph" w:customStyle="1" w:styleId="CcList">
    <w:name w:val="Cc List"/>
    <w:basedOn w:val="Normal"/>
    <w:rsid w:val="006007D2"/>
    <w:rPr>
      <w:sz w:val="20"/>
      <w:szCs w:val="20"/>
    </w:rPr>
  </w:style>
  <w:style w:type="paragraph" w:customStyle="1" w:styleId="subheading1">
    <w:name w:val="subheading1"/>
    <w:basedOn w:val="Normal"/>
    <w:rsid w:val="006007D2"/>
    <w:pPr>
      <w:spacing w:before="100" w:beforeAutospacing="1" w:after="100" w:afterAutospacing="1"/>
    </w:pPr>
    <w:rPr>
      <w:rFonts w:ascii="Verdana" w:hAnsi="Verdana"/>
      <w:b/>
      <w:bCs/>
      <w:color w:val="0A3E94"/>
      <w:sz w:val="16"/>
      <w:szCs w:val="16"/>
    </w:rPr>
  </w:style>
  <w:style w:type="character" w:customStyle="1" w:styleId="standard1">
    <w:name w:val="standard1"/>
    <w:basedOn w:val="DefaultParagraphFont"/>
    <w:rsid w:val="006007D2"/>
    <w:rPr>
      <w:rFonts w:ascii="Verdana" w:hAnsi="Verdana" w:hint="default"/>
      <w:color w:val="000000"/>
      <w:sz w:val="16"/>
      <w:szCs w:val="16"/>
    </w:rPr>
  </w:style>
  <w:style w:type="character" w:customStyle="1" w:styleId="BodyTextIndent3Char">
    <w:name w:val="Body Text Indent 3 Char"/>
    <w:basedOn w:val="DefaultParagraphFont"/>
    <w:link w:val="BodyTextIndent3"/>
    <w:rsid w:val="006007D2"/>
    <w:rPr>
      <w:spacing w:val="20"/>
      <w:lang w:val="en-US" w:eastAsia="en-US" w:bidi="ar-SA"/>
    </w:rPr>
  </w:style>
  <w:style w:type="character" w:customStyle="1" w:styleId="subheading11">
    <w:name w:val="subheading11"/>
    <w:basedOn w:val="DefaultParagraphFont"/>
    <w:qFormat/>
    <w:rsid w:val="006007D2"/>
    <w:rPr>
      <w:rFonts w:ascii="Verdana" w:hAnsi="Verdana" w:hint="default"/>
      <w:b/>
      <w:bCs/>
      <w:color w:val="0A3E94"/>
      <w:sz w:val="16"/>
      <w:szCs w:val="16"/>
    </w:rPr>
  </w:style>
  <w:style w:type="paragraph" w:customStyle="1" w:styleId="bodylink">
    <w:name w:val="bodylink"/>
    <w:basedOn w:val="Normal"/>
    <w:qFormat/>
    <w:rsid w:val="006007D2"/>
    <w:pPr>
      <w:spacing w:before="100" w:beforeAutospacing="1" w:after="100" w:afterAutospacing="1"/>
    </w:pPr>
    <w:rPr>
      <w:rFonts w:ascii="Verdana" w:hAnsi="Verdana"/>
      <w:b/>
      <w:bCs/>
      <w:color w:val="8A1C1C"/>
      <w:sz w:val="17"/>
      <w:szCs w:val="17"/>
    </w:rPr>
  </w:style>
  <w:style w:type="character" w:customStyle="1" w:styleId="FooterChar">
    <w:name w:val="Footer Char"/>
    <w:basedOn w:val="DefaultParagraphFont"/>
    <w:link w:val="Footer"/>
    <w:uiPriority w:val="99"/>
    <w:qFormat/>
    <w:rsid w:val="006007D2"/>
    <w:rPr>
      <w:sz w:val="24"/>
      <w:szCs w:val="24"/>
      <w:lang w:val="en-US" w:eastAsia="en-US" w:bidi="ar-SA"/>
    </w:rPr>
  </w:style>
  <w:style w:type="character" w:customStyle="1" w:styleId="HeaderChar">
    <w:name w:val="Header Char"/>
    <w:basedOn w:val="DefaultParagraphFont"/>
    <w:link w:val="Header"/>
    <w:qFormat/>
    <w:rsid w:val="006007D2"/>
    <w:rPr>
      <w:sz w:val="24"/>
      <w:szCs w:val="24"/>
      <w:lang w:val="en-US" w:eastAsia="en-US" w:bidi="ar-SA"/>
    </w:rPr>
  </w:style>
  <w:style w:type="character" w:customStyle="1" w:styleId="BalloonTextChar">
    <w:name w:val="Balloon Text Char"/>
    <w:basedOn w:val="DefaultParagraphFont"/>
    <w:link w:val="BalloonText"/>
    <w:qFormat/>
    <w:rsid w:val="006007D2"/>
    <w:rPr>
      <w:rFonts w:ascii="Tahoma" w:hAnsi="Tahoma" w:cs="Tahoma"/>
      <w:sz w:val="16"/>
      <w:szCs w:val="16"/>
    </w:rPr>
  </w:style>
  <w:style w:type="character" w:customStyle="1" w:styleId="BodyTextChar">
    <w:name w:val="Body Text Char"/>
    <w:basedOn w:val="DefaultParagraphFont"/>
    <w:link w:val="BodyText"/>
    <w:qFormat/>
    <w:rsid w:val="006007D2"/>
    <w:rPr>
      <w:sz w:val="24"/>
      <w:szCs w:val="24"/>
    </w:rPr>
  </w:style>
  <w:style w:type="paragraph" w:customStyle="1" w:styleId="NoSpacing1">
    <w:name w:val="No Spacing1"/>
    <w:uiPriority w:val="1"/>
    <w:qFormat/>
    <w:rsid w:val="006007D2"/>
    <w:rPr>
      <w:rFonts w:asciiTheme="minorHAnsi" w:eastAsiaTheme="minorHAnsi" w:hAnsiTheme="minorHAnsi" w:cstheme="minorBidi"/>
      <w:sz w:val="22"/>
      <w:szCs w:val="22"/>
      <w:lang w:eastAsia="en-US"/>
    </w:rPr>
  </w:style>
  <w:style w:type="paragraph" w:customStyle="1" w:styleId="ListParagraph1">
    <w:name w:val="List Paragraph1"/>
    <w:basedOn w:val="Normal"/>
    <w:uiPriority w:val="34"/>
    <w:qFormat/>
    <w:rsid w:val="006007D2"/>
    <w:pPr>
      <w:ind w:left="720"/>
      <w:contextualSpacing/>
    </w:pPr>
    <w:rPr>
      <w:rFonts w:asciiTheme="minorHAnsi" w:eastAsiaTheme="minorHAnsi" w:hAnsiTheme="minorHAnsi" w:cstheme="minorBidi"/>
      <w:sz w:val="22"/>
      <w:szCs w:val="22"/>
      <w:lang w:val="en-I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vitar.s@etenderwizard.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enderwizard.com/SLIET" TargetMode="External"/><Relationship Id="rId4" Type="http://schemas.openxmlformats.org/officeDocument/2006/relationships/styles" Target="styles.xml"/><Relationship Id="rId9" Type="http://schemas.openxmlformats.org/officeDocument/2006/relationships/hyperlink" Target="http://www.tenderwizard.com/SLI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BAECEF-B303-4A17-8731-96B87B23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1323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Kavitesh</Company>
  <LinksUpToDate>false</LinksUpToDate>
  <CharactersWithSpaces>8850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Avtar Singh K</dc:creator>
  <cp:lastModifiedBy>admin1</cp:lastModifiedBy>
  <cp:revision>79</cp:revision>
  <cp:lastPrinted>2017-03-17T04:54:00Z</cp:lastPrinted>
  <dcterms:created xsi:type="dcterms:W3CDTF">2015-04-16T04:55:00Z</dcterms:created>
  <dcterms:modified xsi:type="dcterms:W3CDTF">2017-03-17T12:48:00Z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1033-10.1.0.5656</vt:lpwstr>
  </property>
</Properties>
</file>